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5D3F8">
      <w:pPr>
        <w:jc w:val="center"/>
        <w:rPr>
          <w:rFonts w:ascii="Times New Roman" w:hAnsi="Times New Roman" w:eastAsia="黑体" w:cs="Times New Roman"/>
          <w:b/>
          <w:sz w:val="32"/>
          <w:szCs w:val="32"/>
        </w:rPr>
      </w:pPr>
      <w:bookmarkStart w:id="0" w:name="_Hlk199338895"/>
      <w:r>
        <w:rPr>
          <w:rFonts w:ascii="Times New Roman" w:hAnsi="Times New Roman" w:eastAsia="黑体" w:cs="Times New Roman"/>
          <w:b/>
          <w:sz w:val="32"/>
          <w:szCs w:val="32"/>
        </w:rPr>
        <w:t>团体标准《</w:t>
      </w:r>
      <w:bookmarkStart w:id="1" w:name="_Hlk197707596"/>
      <w:r>
        <w:rPr>
          <w:rFonts w:ascii="Times New Roman" w:hAnsi="Times New Roman" w:eastAsia="黑体" w:cs="Times New Roman"/>
          <w:b/>
          <w:sz w:val="32"/>
          <w:szCs w:val="32"/>
        </w:rPr>
        <w:t>通辽肉牛饲养管理技术</w:t>
      </w:r>
      <w:bookmarkEnd w:id="1"/>
      <w:r>
        <w:rPr>
          <w:rFonts w:ascii="Times New Roman" w:hAnsi="Times New Roman" w:eastAsia="黑体" w:cs="Times New Roman"/>
          <w:b/>
          <w:sz w:val="32"/>
          <w:szCs w:val="32"/>
        </w:rPr>
        <w:t>规范》</w:t>
      </w:r>
      <w:bookmarkEnd w:id="0"/>
      <w:r>
        <w:rPr>
          <w:rFonts w:ascii="Times New Roman" w:hAnsi="Times New Roman" w:eastAsia="黑体" w:cs="Times New Roman"/>
          <w:b/>
          <w:sz w:val="32"/>
          <w:szCs w:val="32"/>
        </w:rPr>
        <w:t>编制说明</w:t>
      </w:r>
    </w:p>
    <w:p w14:paraId="2681A64A">
      <w:pPr>
        <w:pStyle w:val="3"/>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b w:val="0"/>
          <w:bCs/>
          <w:szCs w:val="44"/>
          <w:lang w:bidi="ar-SA"/>
        </w:rPr>
        <w:t>一、工作简况</w:t>
      </w:r>
    </w:p>
    <w:p w14:paraId="56D52C83">
      <w:pPr>
        <w:pStyle w:val="4"/>
        <w:keepNext w:val="0"/>
        <w:keepLines w:val="0"/>
        <w:widowControl w:val="0"/>
        <w:adjustRightInd/>
        <w:snapToGrid/>
        <w:ind w:firstLine="530" w:firstLineChars="200"/>
        <w:rPr>
          <w:rFonts w:ascii="Times New Roman" w:hAnsi="Times New Roman" w:eastAsia="楷体" w:cs="Times New Roman"/>
          <w:kern w:val="2"/>
          <w:sz w:val="28"/>
          <w:lang w:bidi="ar-SA"/>
        </w:rPr>
      </w:pPr>
      <w:r>
        <w:rPr>
          <w:rFonts w:ascii="Times New Roman" w:hAnsi="Times New Roman" w:eastAsia="楷体" w:cs="Times New Roman"/>
          <w:spacing w:val="-8"/>
          <w:sz w:val="28"/>
          <w:szCs w:val="28"/>
        </w:rPr>
        <w:t>（</w:t>
      </w:r>
      <w:r>
        <w:rPr>
          <w:rFonts w:ascii="Times New Roman" w:hAnsi="Times New Roman" w:eastAsia="楷体" w:cs="Times New Roman"/>
          <w:kern w:val="2"/>
          <w:sz w:val="28"/>
          <w:lang w:bidi="ar-SA"/>
        </w:rPr>
        <w:t>一）任务来源</w:t>
      </w:r>
    </w:p>
    <w:p w14:paraId="7B4E067E">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本任务来自中国肉类协会2025年标准制定项目。通辽是我国重要的肉牛养殖基地，被称为“中国草原肉牛之都”，而肉牛产业更是其支柱产业，全产业链产值已超过400亿元。但在传统养殖模式下，存在饲养管理不规范、养殖技术手段落后、缺乏统一的管理标准等问题，导致通辽肉牛生长速度缓慢、肉质差异大，甚至出现疾病暴发的风险。</w:t>
      </w:r>
    </w:p>
    <w:p w14:paraId="100BBCFC">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其次，通辽市的自然条件和资源优势为肉牛养殖提供了得天独厚的条件。通辽位于内蒙古的肉牛黄金养殖带，拥有优质的草原、丰富的饲料资源以及适宜的气候条件。这些资源优势使得通辽的肉牛产业具备了快速发展的潜力。然而，随着产业规模的不断扩大，如何科学合理地利用资源、管理养殖环境，提高肉牛质量和生产效益，成为亟待解决的问题。因此，通过制定并实施《通辽肉牛饲养管理技术规程》，确保养殖过程中的饲养技术、管理技术、环境要求和疫病防控等方面的科学性和规范性，对于提升肉牛产品的品质、保障产业的可持续发展至关重要。</w:t>
      </w:r>
    </w:p>
    <w:p w14:paraId="119C8412">
      <w:pPr>
        <w:spacing w:line="360" w:lineRule="auto"/>
        <w:ind w:firstLine="562" w:firstLineChars="200"/>
        <w:outlineLvl w:val="1"/>
        <w:rPr>
          <w:rFonts w:ascii="Times New Roman" w:hAnsi="Times New Roman" w:eastAsia="楷体" w:cs="Times New Roman"/>
          <w:b/>
          <w:bCs/>
          <w:sz w:val="28"/>
          <w:szCs w:val="32"/>
        </w:rPr>
      </w:pPr>
      <w:r>
        <w:rPr>
          <w:rFonts w:ascii="Times New Roman" w:hAnsi="Times New Roman" w:eastAsia="楷体" w:cs="Times New Roman"/>
          <w:b/>
          <w:bCs/>
          <w:sz w:val="28"/>
          <w:szCs w:val="32"/>
        </w:rPr>
        <w:t>（二）起草单位</w:t>
      </w:r>
    </w:p>
    <w:p w14:paraId="3C836002">
      <w:pPr>
        <w:spacing w:line="360" w:lineRule="auto"/>
        <w:ind w:firstLine="464" w:firstLineChars="200"/>
        <w:rPr>
          <w:rFonts w:ascii="Times New Roman" w:hAnsi="Times New Roman" w:eastAsia="宋体" w:cs="Times New Roman"/>
          <w:spacing w:val="-4"/>
          <w:sz w:val="24"/>
        </w:rPr>
      </w:pPr>
      <w:r>
        <w:rPr>
          <w:rFonts w:ascii="Times New Roman" w:hAnsi="Times New Roman" w:eastAsia="宋体" w:cs="Times New Roman"/>
          <w:spacing w:val="-4"/>
          <w:sz w:val="24"/>
        </w:rPr>
        <w:t>起草单位包括：</w:t>
      </w:r>
    </w:p>
    <w:p w14:paraId="170712C8">
      <w:pPr>
        <w:spacing w:line="360" w:lineRule="auto"/>
        <w:ind w:firstLine="480" w:firstLineChars="200"/>
        <w:rPr>
          <w:rFonts w:ascii="Times New Roman" w:hAnsi="Times New Roman" w:cs="Times New Roman"/>
          <w:snapToGrid w:val="0"/>
          <w:sz w:val="24"/>
        </w:rPr>
      </w:pPr>
      <w:r>
        <w:rPr>
          <w:rFonts w:ascii="Times New Roman" w:hAnsi="Times New Roman" w:cs="Times New Roman"/>
          <w:snapToGrid w:val="0"/>
          <w:sz w:val="24"/>
        </w:rPr>
        <w:t>略。</w:t>
      </w:r>
    </w:p>
    <w:p w14:paraId="05684545">
      <w:pPr>
        <w:spacing w:line="360" w:lineRule="auto"/>
        <w:ind w:firstLine="476" w:firstLineChars="200"/>
        <w:rPr>
          <w:rFonts w:ascii="Times New Roman" w:hAnsi="Times New Roman" w:eastAsia="宋体" w:cs="Times New Roman"/>
          <w:spacing w:val="-1"/>
          <w:sz w:val="24"/>
        </w:rPr>
      </w:pPr>
      <w:r>
        <w:rPr>
          <w:rFonts w:ascii="Times New Roman" w:hAnsi="Times New Roman" w:eastAsia="宋体" w:cs="Times New Roman"/>
          <w:spacing w:val="-1"/>
          <w:sz w:val="24"/>
        </w:rPr>
        <w:t>主要起草人员：</w:t>
      </w:r>
    </w:p>
    <w:p w14:paraId="0C362DE7">
      <w:pPr>
        <w:spacing w:line="360" w:lineRule="auto"/>
        <w:ind w:firstLine="480" w:firstLineChars="200"/>
        <w:rPr>
          <w:rFonts w:ascii="Times New Roman" w:hAnsi="Times New Roman" w:eastAsia="宋体" w:cs="Times New Roman"/>
          <w:spacing w:val="-1"/>
          <w:sz w:val="24"/>
        </w:rPr>
      </w:pPr>
      <w:r>
        <w:rPr>
          <w:rFonts w:ascii="Times New Roman" w:hAnsi="Times New Roman" w:cs="Times New Roman"/>
          <w:snapToGrid w:val="0"/>
          <w:sz w:val="24"/>
        </w:rPr>
        <w:t>略。</w:t>
      </w:r>
    </w:p>
    <w:p w14:paraId="158BB57C">
      <w:pPr>
        <w:spacing w:line="360" w:lineRule="auto"/>
        <w:ind w:firstLine="562" w:firstLineChars="200"/>
        <w:outlineLvl w:val="1"/>
        <w:rPr>
          <w:rFonts w:ascii="Times New Roman" w:hAnsi="Times New Roman" w:eastAsia="楷体" w:cs="Times New Roman"/>
          <w:b/>
          <w:bCs/>
          <w:sz w:val="28"/>
          <w:szCs w:val="32"/>
        </w:rPr>
      </w:pPr>
      <w:r>
        <w:rPr>
          <w:rFonts w:ascii="Times New Roman" w:hAnsi="Times New Roman" w:eastAsia="楷体" w:cs="Times New Roman"/>
          <w:b/>
          <w:bCs/>
          <w:sz w:val="28"/>
          <w:szCs w:val="32"/>
        </w:rPr>
        <w:t>（三）主要工作过程</w:t>
      </w:r>
    </w:p>
    <w:p w14:paraId="2BBE2339">
      <w:pPr>
        <w:widowControl/>
        <w:adjustRightInd w:val="0"/>
        <w:snapToGrid w:val="0"/>
        <w:spacing w:line="360" w:lineRule="auto"/>
        <w:ind w:firstLine="482" w:firstLineChars="200"/>
        <w:rPr>
          <w:rFonts w:ascii="Times New Roman" w:hAnsi="Times New Roman" w:cs="Times New Roman"/>
          <w:b/>
          <w:bCs/>
          <w:snapToGrid w:val="0"/>
          <w:kern w:val="0"/>
          <w:sz w:val="24"/>
          <w:lang w:bidi="zh-TW"/>
        </w:rPr>
      </w:pPr>
      <w:r>
        <w:rPr>
          <w:rFonts w:ascii="Times New Roman" w:hAnsi="Times New Roman" w:cs="Times New Roman"/>
          <w:b/>
          <w:bCs/>
          <w:snapToGrid w:val="0"/>
          <w:kern w:val="0"/>
          <w:sz w:val="24"/>
          <w:lang w:bidi="zh-TW"/>
        </w:rPr>
        <w:t>1.起草阶段</w:t>
      </w:r>
    </w:p>
    <w:p w14:paraId="54648420">
      <w:pPr>
        <w:widowControl/>
        <w:adjustRightInd w:val="0"/>
        <w:snapToGrid w:val="0"/>
        <w:spacing w:line="360" w:lineRule="auto"/>
        <w:ind w:firstLine="480" w:firstLineChars="200"/>
        <w:rPr>
          <w:rFonts w:ascii="Times New Roman" w:hAnsi="Times New Roman" w:cs="Times New Roman"/>
          <w:snapToGrid w:val="0"/>
          <w:kern w:val="0"/>
          <w:sz w:val="24"/>
          <w:lang w:bidi="zh-TW"/>
        </w:rPr>
      </w:pPr>
      <w:r>
        <w:rPr>
          <w:rFonts w:ascii="Times New Roman" w:hAnsi="Times New Roman" w:cs="Times New Roman"/>
          <w:snapToGrid w:val="0"/>
          <w:kern w:val="0"/>
          <w:sz w:val="24"/>
          <w:lang w:bidi="zh-TW"/>
        </w:rPr>
        <w:t>（1）2025年1-3月，通辽牛肉系列8个团体标准在中国肉类协会立项。中国肉类协会组织通辽市农畜产品质量安全中心、中国肉类食品综合研究中心等相关参编单位成立标准起草组，制定标准工作计划、确定标准编制工作进度安排及要求。</w:t>
      </w:r>
    </w:p>
    <w:p w14:paraId="08B3DD31">
      <w:pPr>
        <w:widowControl/>
        <w:adjustRightInd w:val="0"/>
        <w:snapToGrid w:val="0"/>
        <w:spacing w:line="360" w:lineRule="auto"/>
        <w:ind w:firstLine="480" w:firstLineChars="200"/>
        <w:rPr>
          <w:rFonts w:ascii="Times New Roman" w:hAnsi="Times New Roman" w:cs="Times New Roman"/>
          <w:snapToGrid w:val="0"/>
          <w:kern w:val="0"/>
          <w:sz w:val="24"/>
          <w:lang w:bidi="zh-TW"/>
        </w:rPr>
      </w:pPr>
      <w:r>
        <w:rPr>
          <w:rFonts w:ascii="Times New Roman" w:hAnsi="Times New Roman" w:cs="Times New Roman"/>
          <w:snapToGrid w:val="0"/>
          <w:kern w:val="0"/>
          <w:sz w:val="24"/>
          <w:lang w:bidi="zh-TW"/>
        </w:rPr>
        <w:t>（2）2025年4-5月，</w:t>
      </w:r>
      <w:bookmarkStart w:id="31" w:name="_GoBack"/>
      <w:bookmarkEnd w:id="31"/>
      <w:r>
        <w:rPr>
          <w:rFonts w:ascii="Times New Roman" w:hAnsi="Times New Roman" w:cs="Times New Roman"/>
          <w:snapToGrid w:val="0"/>
          <w:kern w:val="0"/>
          <w:sz w:val="24"/>
          <w:lang w:bidi="zh-TW"/>
        </w:rPr>
        <w:t>起草组赴通辽肉牛养殖企业进行调研，通过实地考察调研，并对国内外同类或类似标准、研究文献等进行收集整理，进一步完善标准内容，形成了《通辽肉牛饲养管理技术规范》团体标准征求意见稿。</w:t>
      </w:r>
    </w:p>
    <w:p w14:paraId="7463D594">
      <w:pPr>
        <w:widowControl/>
        <w:adjustRightInd w:val="0"/>
        <w:snapToGrid w:val="0"/>
        <w:spacing w:line="360" w:lineRule="auto"/>
        <w:ind w:firstLine="482" w:firstLineChars="200"/>
        <w:rPr>
          <w:rFonts w:ascii="Times New Roman" w:hAnsi="Times New Roman" w:cs="Times New Roman"/>
          <w:b/>
          <w:bCs/>
          <w:snapToGrid w:val="0"/>
          <w:kern w:val="0"/>
          <w:sz w:val="24"/>
          <w:lang w:bidi="zh-TW"/>
        </w:rPr>
      </w:pPr>
      <w:r>
        <w:rPr>
          <w:rFonts w:ascii="Times New Roman" w:hAnsi="Times New Roman" w:cs="Times New Roman"/>
          <w:b/>
          <w:bCs/>
          <w:snapToGrid w:val="0"/>
          <w:kern w:val="0"/>
          <w:sz w:val="24"/>
          <w:lang w:bidi="zh-TW"/>
        </w:rPr>
        <w:t>2. 征求意见阶段</w:t>
      </w:r>
    </w:p>
    <w:p w14:paraId="350590C4">
      <w:pPr>
        <w:spacing w:line="360" w:lineRule="auto"/>
        <w:ind w:left="24" w:firstLine="200"/>
        <w:rPr>
          <w:rFonts w:ascii="Times New Roman" w:hAnsi="Times New Roman" w:eastAsia="宋体" w:cs="Times New Roman"/>
          <w:spacing w:val="-1"/>
          <w:sz w:val="24"/>
        </w:rPr>
      </w:pPr>
      <w:r>
        <w:rPr>
          <w:rFonts w:ascii="Times New Roman" w:hAnsi="Times New Roman" w:eastAsia="宋体" w:cs="Times New Roman"/>
          <w:spacing w:val="-1"/>
          <w:sz w:val="24"/>
        </w:rPr>
        <w:t>略</w:t>
      </w:r>
    </w:p>
    <w:p w14:paraId="6176EA84">
      <w:pPr>
        <w:widowControl/>
        <w:adjustRightInd w:val="0"/>
        <w:snapToGrid w:val="0"/>
        <w:spacing w:line="360" w:lineRule="auto"/>
        <w:ind w:firstLine="482" w:firstLineChars="200"/>
        <w:rPr>
          <w:rFonts w:ascii="Times New Roman" w:hAnsi="Times New Roman" w:cs="Times New Roman"/>
          <w:b/>
          <w:bCs/>
          <w:snapToGrid w:val="0"/>
          <w:kern w:val="0"/>
          <w:sz w:val="24"/>
          <w:lang w:bidi="zh-TW"/>
        </w:rPr>
      </w:pPr>
      <w:r>
        <w:rPr>
          <w:rFonts w:ascii="Times New Roman" w:hAnsi="Times New Roman" w:cs="Times New Roman"/>
          <w:b/>
          <w:bCs/>
          <w:snapToGrid w:val="0"/>
          <w:kern w:val="0"/>
          <w:sz w:val="24"/>
          <w:lang w:bidi="zh-TW"/>
        </w:rPr>
        <w:t>3.审查阶段</w:t>
      </w:r>
    </w:p>
    <w:p w14:paraId="50555DCD">
      <w:pPr>
        <w:spacing w:line="360" w:lineRule="auto"/>
        <w:ind w:left="24" w:firstLine="200"/>
        <w:rPr>
          <w:rFonts w:ascii="Times New Roman" w:hAnsi="Times New Roman" w:eastAsia="宋体" w:cs="Times New Roman"/>
          <w:spacing w:val="-1"/>
          <w:sz w:val="24"/>
        </w:rPr>
      </w:pPr>
      <w:r>
        <w:rPr>
          <w:rFonts w:ascii="Times New Roman" w:hAnsi="Times New Roman" w:eastAsia="宋体" w:cs="Times New Roman"/>
          <w:spacing w:val="-1"/>
          <w:sz w:val="24"/>
        </w:rPr>
        <w:t>略</w:t>
      </w:r>
    </w:p>
    <w:p w14:paraId="6AD0B533">
      <w:pPr>
        <w:pStyle w:val="3"/>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b w:val="0"/>
          <w:bCs/>
          <w:szCs w:val="44"/>
          <w:lang w:bidi="ar-SA"/>
        </w:rPr>
        <w:t>二、标准编制原则和确定标准主要内容的依据</w:t>
      </w:r>
    </w:p>
    <w:p w14:paraId="63C4504C">
      <w:pPr>
        <w:pStyle w:val="4"/>
        <w:keepNext w:val="0"/>
        <w:keepLines w:val="0"/>
        <w:widowControl w:val="0"/>
        <w:adjustRightInd/>
        <w:snapToGrid/>
        <w:ind w:firstLine="562" w:firstLineChars="200"/>
        <w:rPr>
          <w:rFonts w:ascii="Times New Roman" w:hAnsi="Times New Roman" w:eastAsia="楷体" w:cs="Times New Roman"/>
          <w:kern w:val="2"/>
          <w:sz w:val="28"/>
          <w:lang w:bidi="ar-SA"/>
        </w:rPr>
      </w:pPr>
      <w:r>
        <w:rPr>
          <w:rFonts w:ascii="Times New Roman" w:hAnsi="Times New Roman" w:eastAsia="楷体" w:cs="Times New Roman"/>
          <w:kern w:val="2"/>
          <w:sz w:val="28"/>
          <w:lang w:bidi="ar-SA"/>
        </w:rPr>
        <w:t>（一）编制原则</w:t>
      </w:r>
    </w:p>
    <w:p w14:paraId="7D496DAA">
      <w:pPr>
        <w:spacing w:line="360" w:lineRule="auto"/>
        <w:ind w:left="23" w:firstLine="476" w:firstLineChars="200"/>
        <w:rPr>
          <w:rFonts w:ascii="Times New Roman" w:hAnsi="Times New Roman" w:eastAsia="宋体" w:cs="Times New Roman"/>
          <w:spacing w:val="-3"/>
          <w:sz w:val="24"/>
        </w:rPr>
      </w:pPr>
      <w:r>
        <w:rPr>
          <w:rFonts w:ascii="Times New Roman" w:hAnsi="Times New Roman" w:eastAsia="宋体" w:cs="Times New Roman"/>
          <w:spacing w:val="-1"/>
          <w:sz w:val="24"/>
        </w:rPr>
        <w:t>标准制定过程中，深入分析总结</w:t>
      </w:r>
      <w:bookmarkStart w:id="2" w:name="_Hlk197708519"/>
      <w:r>
        <w:rPr>
          <w:rFonts w:ascii="Times New Roman" w:hAnsi="Times New Roman" w:eastAsia="宋体" w:cs="Times New Roman"/>
          <w:spacing w:val="-1"/>
          <w:sz w:val="24"/>
        </w:rPr>
        <w:t>通辽肉牛饲养管理</w:t>
      </w:r>
      <w:bookmarkEnd w:id="2"/>
      <w:r>
        <w:rPr>
          <w:rFonts w:ascii="Times New Roman" w:hAnsi="Times New Roman" w:eastAsia="宋体" w:cs="Times New Roman"/>
          <w:spacing w:val="-1"/>
          <w:sz w:val="24"/>
        </w:rPr>
        <w:t>技术</w:t>
      </w:r>
      <w:r>
        <w:rPr>
          <w:rFonts w:ascii="Times New Roman" w:hAnsi="Times New Roman" w:eastAsia="宋体" w:cs="Times New Roman"/>
          <w:spacing w:val="-2"/>
          <w:sz w:val="24"/>
        </w:rPr>
        <w:t>现状，密切联系</w:t>
      </w:r>
      <w:r>
        <w:rPr>
          <w:rFonts w:ascii="Times New Roman" w:hAnsi="Times New Roman" w:eastAsia="宋体" w:cs="Times New Roman"/>
          <w:spacing w:val="-3"/>
          <w:sz w:val="24"/>
        </w:rPr>
        <w:t>企业生产实践，确保标准具有较强的科学性和可操作性，便于实施和推广，促进通辽肉牛饲养管理规范化发展。</w:t>
      </w:r>
    </w:p>
    <w:p w14:paraId="05010ED8">
      <w:pPr>
        <w:spacing w:line="360" w:lineRule="auto"/>
        <w:ind w:firstLine="468" w:firstLineChars="200"/>
        <w:rPr>
          <w:rFonts w:ascii="Times New Roman" w:hAnsi="Times New Roman" w:eastAsia="宋体" w:cs="Times New Roman"/>
          <w:spacing w:val="-3"/>
          <w:sz w:val="24"/>
        </w:rPr>
      </w:pPr>
      <w:r>
        <w:rPr>
          <w:rFonts w:ascii="Times New Roman" w:hAnsi="Times New Roman" w:eastAsia="宋体" w:cs="Times New Roman"/>
          <w:spacing w:val="-3"/>
          <w:sz w:val="24"/>
        </w:rPr>
        <w:t>本标准起草遵循“实用性、科学性、规范性、前瞻性”的原则，依据 GB/T 1.1-2009《标准化工作导则 第 1 部分：标准的结构和编写》、在确保符合GB/T 36195-2018《畜禽粪便无害化处理技术规范》等标准的相关规定的前提下，充分考虑通辽肉牛的特点，遵循“科学性、实用性、统一性、规范性”的原则，保持了品种区域化的特点和标准条款的可操作性。标准制定过程中严格遵守我国现行法律法规，标准内容便于实施，易于被其他标准或文件所引用，确保标准的适用性。</w:t>
      </w:r>
    </w:p>
    <w:p w14:paraId="14A32028">
      <w:pPr>
        <w:pStyle w:val="4"/>
        <w:keepNext w:val="0"/>
        <w:keepLines w:val="0"/>
        <w:widowControl w:val="0"/>
        <w:adjustRightInd/>
        <w:snapToGrid/>
        <w:ind w:firstLine="562" w:firstLineChars="200"/>
        <w:rPr>
          <w:rFonts w:ascii="Times New Roman" w:hAnsi="Times New Roman" w:eastAsia="楷体" w:cs="Times New Roman"/>
          <w:kern w:val="2"/>
          <w:sz w:val="28"/>
          <w:lang w:bidi="ar-SA"/>
        </w:rPr>
      </w:pPr>
      <w:r>
        <w:rPr>
          <w:rFonts w:ascii="Times New Roman" w:hAnsi="Times New Roman" w:eastAsia="楷体" w:cs="Times New Roman"/>
          <w:kern w:val="2"/>
          <w:sz w:val="28"/>
          <w:lang w:bidi="ar-SA"/>
        </w:rPr>
        <w:t>（二）主要内容的依据</w:t>
      </w:r>
    </w:p>
    <w:p w14:paraId="4869EEF5">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1　范围</w:t>
      </w:r>
    </w:p>
    <w:p w14:paraId="0D1AA4F6">
      <w:pPr>
        <w:pStyle w:val="18"/>
        <w:tabs>
          <w:tab w:val="center" w:pos="4201"/>
          <w:tab w:val="right" w:leader="dot" w:pos="9298"/>
        </w:tabs>
        <w:spacing w:line="360" w:lineRule="auto"/>
        <w:ind w:firstLine="482" w:firstLineChars="200"/>
        <w:rPr>
          <w:rFonts w:ascii="Times New Roman"/>
          <w:b/>
          <w:bCs/>
          <w:snapToGrid w:val="0"/>
          <w:sz w:val="24"/>
          <w:szCs w:val="24"/>
        </w:rPr>
      </w:pPr>
      <w:r>
        <w:rPr>
          <w:rFonts w:ascii="Times New Roman"/>
          <w:b/>
          <w:bCs/>
          <w:snapToGrid w:val="0"/>
          <w:sz w:val="24"/>
          <w:szCs w:val="24"/>
        </w:rPr>
        <w:t>标准文本</w:t>
      </w:r>
    </w:p>
    <w:p w14:paraId="4BC237EB">
      <w:pPr>
        <w:spacing w:line="360" w:lineRule="auto"/>
        <w:ind w:firstLine="456" w:firstLineChars="200"/>
        <w:rPr>
          <w:rFonts w:ascii="Times New Roman" w:hAnsi="Times New Roman" w:eastAsia="宋体" w:cs="Times New Roman"/>
          <w:spacing w:val="-6"/>
          <w:sz w:val="24"/>
        </w:rPr>
      </w:pPr>
      <w:r>
        <w:rPr>
          <w:rFonts w:hint="eastAsia" w:ascii="Times New Roman" w:hAnsi="Times New Roman" w:eastAsia="宋体" w:cs="Times New Roman"/>
          <w:spacing w:val="-6"/>
          <w:sz w:val="24"/>
        </w:rPr>
        <w:t>本文件规定了通辽肉牛饲养管理的饲养场建设、日常管理、饲养投入品管理、饲养管理、疫病防治、废弃物无害化处理和档案管理的要求。</w:t>
      </w:r>
    </w:p>
    <w:p w14:paraId="1482CAE5">
      <w:pPr>
        <w:spacing w:line="360" w:lineRule="auto"/>
        <w:ind w:firstLine="456" w:firstLineChars="200"/>
        <w:rPr>
          <w:rFonts w:ascii="Times New Roman" w:hAnsi="Times New Roman" w:eastAsia="宋体" w:cs="Times New Roman"/>
          <w:b/>
          <w:bCs/>
          <w:spacing w:val="-10"/>
          <w:sz w:val="24"/>
        </w:rPr>
      </w:pPr>
      <w:r>
        <w:rPr>
          <w:rFonts w:ascii="Times New Roman" w:hAnsi="Times New Roman" w:eastAsia="宋体" w:cs="Times New Roman"/>
          <w:spacing w:val="-6"/>
          <w:sz w:val="24"/>
        </w:rPr>
        <w:t>本标准适用于通辽肉牛规模化饲养场和养殖户。</w:t>
      </w:r>
    </w:p>
    <w:p w14:paraId="7580E881">
      <w:pPr>
        <w:widowControl/>
        <w:adjustRightInd w:val="0"/>
        <w:snapToGrid w:val="0"/>
        <w:spacing w:line="360" w:lineRule="auto"/>
        <w:ind w:firstLine="482" w:firstLineChars="200"/>
        <w:rPr>
          <w:rFonts w:ascii="Times New Roman" w:hAnsi="Times New Roman" w:cs="Times New Roman"/>
          <w:b/>
          <w:kern w:val="0"/>
          <w:sz w:val="24"/>
          <w:szCs w:val="20"/>
          <w:lang w:bidi="zh-TW"/>
        </w:rPr>
      </w:pPr>
      <w:r>
        <w:rPr>
          <w:rFonts w:ascii="Times New Roman" w:hAnsi="Times New Roman" w:cs="Times New Roman"/>
          <w:b/>
          <w:kern w:val="0"/>
          <w:sz w:val="24"/>
          <w:szCs w:val="20"/>
          <w:lang w:bidi="zh-TW"/>
        </w:rPr>
        <w:t>制定依据：</w:t>
      </w:r>
    </w:p>
    <w:p w14:paraId="2147E255">
      <w:pPr>
        <w:spacing w:line="360" w:lineRule="auto"/>
        <w:ind w:firstLine="456" w:firstLineChars="200"/>
        <w:rPr>
          <w:rFonts w:ascii="Times New Roman" w:hAnsi="Times New Roman" w:eastAsia="宋体" w:cs="Times New Roman"/>
          <w:spacing w:val="-6"/>
          <w:sz w:val="24"/>
        </w:rPr>
      </w:pPr>
      <w:r>
        <w:rPr>
          <w:rFonts w:ascii="Times New Roman" w:hAnsi="Times New Roman" w:eastAsia="宋体" w:cs="Times New Roman"/>
          <w:spacing w:val="-6"/>
          <w:sz w:val="24"/>
        </w:rPr>
        <w:t>本条规定了通辽肉牛饲养管理所涉及的各方面技术内容及适用范围。本文件规定的技术内容包括饲养场建设、日常管理、饲养投入品管理、饲养管理技术要求，同时对疫病防治和废弃物无害化处理</w:t>
      </w:r>
      <w:r>
        <w:rPr>
          <w:rFonts w:hint="eastAsia" w:ascii="Times New Roman" w:hAnsi="Times New Roman" w:eastAsia="宋体" w:cs="Times New Roman"/>
          <w:spacing w:val="-6"/>
          <w:sz w:val="24"/>
        </w:rPr>
        <w:t>做出</w:t>
      </w:r>
      <w:r>
        <w:rPr>
          <w:rFonts w:ascii="Times New Roman" w:hAnsi="Times New Roman" w:eastAsia="宋体" w:cs="Times New Roman"/>
          <w:spacing w:val="-6"/>
          <w:sz w:val="24"/>
        </w:rPr>
        <w:t>规定，本文件还对通辽肉牛标识和无害化管理的技术要求作了规定。</w:t>
      </w:r>
    </w:p>
    <w:p w14:paraId="6FBA719B">
      <w:pPr>
        <w:spacing w:line="360" w:lineRule="auto"/>
        <w:ind w:left="23" w:firstLine="200"/>
        <w:rPr>
          <w:rFonts w:ascii="Times New Roman" w:hAnsi="Times New Roman" w:eastAsia="宋体" w:cs="Times New Roman"/>
          <w:spacing w:val="-4"/>
          <w:sz w:val="24"/>
        </w:rPr>
      </w:pPr>
      <w:r>
        <w:rPr>
          <w:rFonts w:ascii="Times New Roman" w:hAnsi="Times New Roman" w:eastAsia="宋体" w:cs="Times New Roman"/>
          <w:spacing w:val="-4"/>
          <w:sz w:val="24"/>
        </w:rPr>
        <w:t>本文件适用于通辽地区肉牛养殖场和养殖户的饲养管理。</w:t>
      </w:r>
    </w:p>
    <w:p w14:paraId="7E136706">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2　规范性引用文件</w:t>
      </w:r>
    </w:p>
    <w:p w14:paraId="33D70494">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标准文本</w:t>
      </w:r>
    </w:p>
    <w:p w14:paraId="63693DB3">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17A4B83">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GB 5749 生活饮用水卫生标准</w:t>
      </w:r>
    </w:p>
    <w:p w14:paraId="2BAFC91E">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GB 13078 饲料卫生标准</w:t>
      </w:r>
    </w:p>
    <w:p w14:paraId="11C3464A">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GB 18596 畜禽场污染物排放标准</w:t>
      </w:r>
    </w:p>
    <w:p w14:paraId="0B6C35D1">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GB/T 36195 畜禽粪便无害化处理技术规范</w:t>
      </w:r>
    </w:p>
    <w:p w14:paraId="5159377D">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NY/T 388 畜禽场环境质量标准</w:t>
      </w:r>
    </w:p>
    <w:p w14:paraId="66B2A8D3">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NY/T 682 畜禽场场区设计技术规范</w:t>
      </w:r>
    </w:p>
    <w:p w14:paraId="6F038E80">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NY/T 815 肉牛饲养标准</w:t>
      </w:r>
    </w:p>
    <w:p w14:paraId="767EBB42">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NY/T 2663 标准化养殖场  肉牛</w:t>
      </w:r>
    </w:p>
    <w:p w14:paraId="76E2CF6E">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NY/T 2696 饲草青贮技术规程  玉米</w:t>
      </w:r>
    </w:p>
    <w:p w14:paraId="763CA3EC">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 xml:space="preserve">NY/T 3075 畜禽养殖场消毒技术 </w:t>
      </w:r>
    </w:p>
    <w:p w14:paraId="0F698368">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 xml:space="preserve">NY 5027 无公害食品  畜禽饮用水水质 </w:t>
      </w:r>
    </w:p>
    <w:p w14:paraId="5DE2EB32">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NY/T 5030 无公害农产品  兽药使用准则</w:t>
      </w:r>
    </w:p>
    <w:p w14:paraId="6565C2C4">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NY 5126 无公害食品肉牛饲养兽药防疫准则</w:t>
      </w:r>
    </w:p>
    <w:p w14:paraId="0BEDBEBC">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DB15/T 1716 “科尔沁牛”饲养管理技术规程</w:t>
      </w:r>
    </w:p>
    <w:p w14:paraId="5E443272">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T/CMATB 3012 通辽牛肉</w:t>
      </w:r>
    </w:p>
    <w:p w14:paraId="449A6D00">
      <w:pPr>
        <w:spacing w:line="360" w:lineRule="auto"/>
        <w:ind w:firstLine="454" w:firstLineChars="200"/>
        <w:rPr>
          <w:rFonts w:ascii="Times New Roman" w:hAnsi="Times New Roman" w:eastAsia="宋体" w:cs="Times New Roman"/>
          <w:b/>
          <w:bCs/>
          <w:spacing w:val="-7"/>
          <w:sz w:val="24"/>
        </w:rPr>
      </w:pPr>
      <w:r>
        <w:rPr>
          <w:rFonts w:ascii="Times New Roman" w:hAnsi="Times New Roman" w:eastAsia="宋体" w:cs="Times New Roman"/>
          <w:b/>
          <w:bCs/>
          <w:spacing w:val="-7"/>
          <w:sz w:val="24"/>
        </w:rPr>
        <w:t>制定依据：</w:t>
      </w:r>
    </w:p>
    <w:p w14:paraId="3E46EF4D">
      <w:pPr>
        <w:spacing w:line="360" w:lineRule="auto"/>
        <w:ind w:firstLine="468" w:firstLineChars="200"/>
        <w:rPr>
          <w:rFonts w:ascii="Times New Roman" w:hAnsi="Times New Roman" w:eastAsia="宋体" w:cs="Times New Roman"/>
          <w:spacing w:val="-3"/>
          <w:sz w:val="24"/>
        </w:rPr>
      </w:pPr>
      <w:r>
        <w:rPr>
          <w:rFonts w:ascii="Times New Roman" w:hAnsi="Times New Roman" w:eastAsia="宋体" w:cs="Times New Roman"/>
          <w:spacing w:val="-3"/>
          <w:sz w:val="24"/>
        </w:rPr>
        <w:t>本条列出了标准中规范引用的其他文件清单。</w:t>
      </w:r>
    </w:p>
    <w:p w14:paraId="4C91B671">
      <w:pPr>
        <w:widowControl/>
        <w:spacing w:line="360" w:lineRule="auto"/>
        <w:ind w:firstLine="482" w:firstLineChars="200"/>
        <w:rPr>
          <w:rFonts w:ascii="Times New Roman" w:hAnsi="Times New Roman" w:eastAsia="宋体" w:cs="Times New Roman"/>
          <w:b/>
          <w:bCs/>
          <w:sz w:val="24"/>
        </w:rPr>
      </w:pPr>
      <w:bookmarkStart w:id="3" w:name="_Toc22135202"/>
      <w:bookmarkEnd w:id="3"/>
      <w:bookmarkStart w:id="4" w:name="_Toc16172015"/>
      <w:bookmarkEnd w:id="4"/>
      <w:bookmarkStart w:id="5" w:name="_Toc16171937"/>
      <w:bookmarkEnd w:id="5"/>
      <w:bookmarkStart w:id="6" w:name="_Toc21982146"/>
      <w:bookmarkEnd w:id="6"/>
      <w:bookmarkStart w:id="7" w:name="_Toc22135206"/>
      <w:bookmarkEnd w:id="7"/>
      <w:bookmarkStart w:id="8" w:name="_Toc21982429"/>
      <w:bookmarkEnd w:id="8"/>
      <w:bookmarkStart w:id="9" w:name="_Toc21982427"/>
      <w:bookmarkEnd w:id="9"/>
      <w:bookmarkStart w:id="10" w:name="_Toc21982140"/>
      <w:bookmarkEnd w:id="10"/>
      <w:bookmarkStart w:id="11" w:name="_Toc21982433"/>
      <w:bookmarkEnd w:id="11"/>
      <w:bookmarkStart w:id="12" w:name="_Toc20317841"/>
      <w:bookmarkEnd w:id="12"/>
      <w:bookmarkStart w:id="13" w:name="_Toc20235282"/>
      <w:bookmarkEnd w:id="13"/>
      <w:bookmarkStart w:id="14" w:name="_Toc21982142"/>
      <w:bookmarkEnd w:id="14"/>
      <w:bookmarkStart w:id="15" w:name="_Toc20236397"/>
      <w:bookmarkEnd w:id="15"/>
      <w:bookmarkStart w:id="16" w:name="_Toc20410161"/>
      <w:bookmarkEnd w:id="16"/>
      <w:r>
        <w:rPr>
          <w:rFonts w:ascii="Times New Roman" w:hAnsi="Times New Roman" w:eastAsia="宋体" w:cs="Times New Roman"/>
          <w:b/>
          <w:bCs/>
          <w:sz w:val="24"/>
        </w:rPr>
        <w:t>3　术语和定义</w:t>
      </w:r>
    </w:p>
    <w:p w14:paraId="058B9BFB">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标准文本</w:t>
      </w:r>
    </w:p>
    <w:p w14:paraId="0D10EADD">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下列术语和定义适用于本文件。</w:t>
      </w:r>
    </w:p>
    <w:p w14:paraId="238EB884">
      <w:pPr>
        <w:autoSpaceDE w:val="0"/>
        <w:autoSpaceDN w:val="0"/>
        <w:adjustRightInd w:val="0"/>
        <w:spacing w:line="360" w:lineRule="auto"/>
        <w:ind w:firstLine="480" w:firstLineChars="200"/>
        <w:rPr>
          <w:rFonts w:ascii="Times New Roman" w:hAnsi="Times New Roman" w:eastAsia="黑体" w:cs="Times New Roman"/>
          <w:kern w:val="0"/>
          <w:sz w:val="24"/>
        </w:rPr>
      </w:pPr>
      <w:bookmarkStart w:id="17" w:name="OLE_LINK6"/>
      <w:r>
        <w:rPr>
          <w:rFonts w:ascii="Times New Roman" w:hAnsi="Times New Roman" w:eastAsia="黑体" w:cs="Times New Roman"/>
          <w:kern w:val="0"/>
          <w:sz w:val="24"/>
        </w:rPr>
        <w:t>3.1　通辽肉牛  Tongliao beef cattle</w:t>
      </w:r>
    </w:p>
    <w:p w14:paraId="3549542E">
      <w:pPr>
        <w:autoSpaceDE w:val="0"/>
        <w:autoSpaceDN w:val="0"/>
        <w:adjustRightIn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以中国西门塔尔牛（草原类型群）为母本，北美西门塔尔牛（肉用型）为父本，级进杂交，选育提高，在通辽区域范围内繁育的肉牛类群。</w:t>
      </w:r>
    </w:p>
    <w:p w14:paraId="2EE2D04A">
      <w:pPr>
        <w:pStyle w:val="6"/>
        <w:spacing w:after="0" w:line="360" w:lineRule="auto"/>
        <w:ind w:firstLine="518" w:firstLineChars="200"/>
        <w:rPr>
          <w:rFonts w:ascii="Times New Roman" w:hAnsi="Times New Roman" w:eastAsia="宋体" w:cs="Times New Roman"/>
          <w:b/>
          <w:bCs/>
          <w:spacing w:val="9"/>
          <w:sz w:val="28"/>
          <w:szCs w:val="28"/>
        </w:rPr>
      </w:pPr>
      <w:bookmarkStart w:id="18" w:name="_Hlk198301607"/>
      <w:r>
        <w:rPr>
          <w:rFonts w:ascii="Times New Roman" w:hAnsi="Times New Roman" w:eastAsia="宋体" w:cs="Times New Roman"/>
          <w:b/>
          <w:bCs/>
          <w:spacing w:val="9"/>
          <w:sz w:val="24"/>
        </w:rPr>
        <w:t>制定依据</w:t>
      </w:r>
      <w:r>
        <w:rPr>
          <w:rFonts w:ascii="Times New Roman" w:hAnsi="Times New Roman" w:eastAsia="宋体" w:cs="Times New Roman"/>
          <w:b/>
          <w:bCs/>
          <w:spacing w:val="9"/>
          <w:sz w:val="28"/>
          <w:szCs w:val="28"/>
        </w:rPr>
        <w:t>：</w:t>
      </w:r>
      <w:bookmarkEnd w:id="18"/>
    </w:p>
    <w:p w14:paraId="72DBA90D">
      <w:pPr>
        <w:pStyle w:val="6"/>
        <w:spacing w:after="0"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本条定义了通辽肉牛的概念。参考《T/CMATB 3012-2024 通辽牛肉》，结合通辽地区通辽肉牛的特征，制定了相关条款。</w:t>
      </w:r>
    </w:p>
    <w:p w14:paraId="6B229E32">
      <w:pPr>
        <w:autoSpaceDE w:val="0"/>
        <w:autoSpaceDN w:val="0"/>
        <w:adjustRightInd w:val="0"/>
        <w:spacing w:line="360" w:lineRule="auto"/>
        <w:ind w:firstLine="482" w:firstLineChars="200"/>
        <w:rPr>
          <w:rFonts w:ascii="Times New Roman" w:hAnsi="Times New Roman" w:eastAsia="宋体" w:cs="Times New Roman"/>
          <w:b/>
          <w:bCs/>
          <w:kern w:val="0"/>
          <w:sz w:val="24"/>
        </w:rPr>
      </w:pPr>
      <w:r>
        <w:rPr>
          <w:rFonts w:ascii="Times New Roman" w:hAnsi="Times New Roman" w:eastAsia="宋体" w:cs="Times New Roman"/>
          <w:b/>
          <w:bCs/>
          <w:kern w:val="0"/>
          <w:sz w:val="24"/>
        </w:rPr>
        <w:t>标准文本</w:t>
      </w:r>
    </w:p>
    <w:p w14:paraId="5BCEA6CB">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3.2　通辽犊牛Tongliao calf</w:t>
      </w:r>
    </w:p>
    <w:p w14:paraId="08F46ECE">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出生至体重250kg的通辽肉牛。</w:t>
      </w:r>
    </w:p>
    <w:p w14:paraId="07EF08FE">
      <w:pPr>
        <w:pStyle w:val="6"/>
        <w:spacing w:after="0" w:line="360" w:lineRule="auto"/>
        <w:ind w:firstLine="518" w:firstLineChars="200"/>
        <w:rPr>
          <w:rFonts w:ascii="Times New Roman" w:hAnsi="Times New Roman" w:eastAsia="宋体" w:cs="Times New Roman"/>
          <w:b/>
          <w:bCs/>
          <w:spacing w:val="9"/>
          <w:sz w:val="28"/>
          <w:szCs w:val="28"/>
        </w:rPr>
      </w:pPr>
      <w:r>
        <w:rPr>
          <w:rFonts w:ascii="Times New Roman" w:hAnsi="Times New Roman" w:eastAsia="宋体" w:cs="Times New Roman"/>
          <w:b/>
          <w:bCs/>
          <w:spacing w:val="9"/>
          <w:sz w:val="24"/>
        </w:rPr>
        <w:t>制定依据</w:t>
      </w:r>
      <w:r>
        <w:rPr>
          <w:rFonts w:ascii="Times New Roman" w:hAnsi="Times New Roman" w:eastAsia="宋体" w:cs="Times New Roman"/>
          <w:b/>
          <w:bCs/>
          <w:spacing w:val="9"/>
          <w:sz w:val="28"/>
          <w:szCs w:val="28"/>
        </w:rPr>
        <w:t>：</w:t>
      </w:r>
    </w:p>
    <w:p w14:paraId="253F32BB">
      <w:pPr>
        <w:pStyle w:val="6"/>
        <w:spacing w:after="0" w:line="360" w:lineRule="auto"/>
        <w:ind w:firstLine="452" w:firstLineChars="200"/>
        <w:rPr>
          <w:rFonts w:ascii="Times New Roman" w:hAnsi="Times New Roman" w:cs="Times New Roman"/>
        </w:rPr>
      </w:pPr>
      <w:r>
        <w:rPr>
          <w:rFonts w:ascii="Times New Roman" w:hAnsi="Times New Roman" w:eastAsia="宋体" w:cs="Times New Roman"/>
          <w:spacing w:val="-7"/>
          <w:sz w:val="24"/>
        </w:rPr>
        <w:t>参考《</w:t>
      </w:r>
      <w:bookmarkStart w:id="19" w:name="_Hlk198730359"/>
      <w:r>
        <w:rPr>
          <w:rFonts w:ascii="Times New Roman" w:hAnsi="Times New Roman" w:eastAsia="宋体" w:cs="Times New Roman"/>
          <w:spacing w:val="-7"/>
          <w:sz w:val="24"/>
        </w:rPr>
        <w:t>DB15/T 1716-2019 “科尔沁牛”饲养管理技术规程</w:t>
      </w:r>
      <w:bookmarkEnd w:id="19"/>
      <w:r>
        <w:rPr>
          <w:rFonts w:ascii="Times New Roman" w:hAnsi="Times New Roman" w:eastAsia="宋体" w:cs="Times New Roman"/>
          <w:spacing w:val="-7"/>
          <w:sz w:val="24"/>
        </w:rPr>
        <w:t>》中对犊牛的定义“出生至6月龄的牛”，并通过调研通辽地区通辽肉牛的养殖场和养殖企业，结合犊牛的实际生长状况制定了此定义。</w:t>
      </w:r>
    </w:p>
    <w:bookmarkEnd w:id="17"/>
    <w:p w14:paraId="395E9645">
      <w:pPr>
        <w:autoSpaceDE w:val="0"/>
        <w:autoSpaceDN w:val="0"/>
        <w:adjustRightInd w:val="0"/>
        <w:spacing w:line="360" w:lineRule="auto"/>
        <w:ind w:firstLine="482" w:firstLineChars="200"/>
        <w:rPr>
          <w:rFonts w:ascii="Times New Roman" w:hAnsi="Times New Roman" w:eastAsia="宋体" w:cs="Times New Roman"/>
          <w:b/>
          <w:bCs/>
          <w:kern w:val="0"/>
          <w:sz w:val="24"/>
        </w:rPr>
      </w:pPr>
      <w:r>
        <w:rPr>
          <w:rFonts w:ascii="Times New Roman" w:hAnsi="Times New Roman" w:eastAsia="宋体" w:cs="Times New Roman"/>
          <w:b/>
          <w:bCs/>
          <w:kern w:val="0"/>
          <w:sz w:val="24"/>
        </w:rPr>
        <w:t>标准文本</w:t>
      </w:r>
    </w:p>
    <w:p w14:paraId="74C301C4">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3.3　通辽育肥牛 Tongliao finishing cattle</w:t>
      </w:r>
    </w:p>
    <w:p w14:paraId="23B8A839">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通过分阶段科学饲养，最终达到屠宰体重的通辽肉牛。</w:t>
      </w:r>
    </w:p>
    <w:p w14:paraId="711DAD89">
      <w:pPr>
        <w:pStyle w:val="6"/>
        <w:spacing w:after="0" w:line="360" w:lineRule="auto"/>
        <w:ind w:firstLine="518" w:firstLineChars="200"/>
        <w:rPr>
          <w:rFonts w:ascii="Times New Roman" w:hAnsi="Times New Roman" w:eastAsia="宋体" w:cs="Times New Roman"/>
          <w:b/>
          <w:bCs/>
          <w:spacing w:val="9"/>
          <w:sz w:val="28"/>
          <w:szCs w:val="28"/>
        </w:rPr>
      </w:pPr>
      <w:r>
        <w:rPr>
          <w:rFonts w:ascii="Times New Roman" w:hAnsi="Times New Roman" w:eastAsia="宋体" w:cs="Times New Roman"/>
          <w:b/>
          <w:bCs/>
          <w:spacing w:val="9"/>
          <w:sz w:val="24"/>
        </w:rPr>
        <w:t>制定依据</w:t>
      </w:r>
      <w:r>
        <w:rPr>
          <w:rFonts w:ascii="Times New Roman" w:hAnsi="Times New Roman" w:eastAsia="宋体" w:cs="Times New Roman"/>
          <w:b/>
          <w:bCs/>
          <w:spacing w:val="9"/>
          <w:sz w:val="28"/>
          <w:szCs w:val="28"/>
        </w:rPr>
        <w:t>：</w:t>
      </w:r>
    </w:p>
    <w:p w14:paraId="2EB5A113">
      <w:pPr>
        <w:autoSpaceDE w:val="0"/>
        <w:autoSpaceDN w:val="0"/>
        <w:adjustRightInd w:val="0"/>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本条定义了育肥牛的概念。《DB15/T 1716-2019 “科尔沁牛”饲养管理技术规程》中指出，育肥牛是指通过集中饲养、科学饲喂，达到屠宰标准的牛。而经企业调研，发现通辽肉牛的饲养过程中并非完全依赖集中饲养，而是采用了分阶段饲养的方式，即从初期阶段的草料饲养逐渐过渡到最后阶段的高能饲料喂养。分阶段饲养的方式更符合实际，并且能够更好地控制牛的生长速度、体重和肉质。因此，对此进行了定义。</w:t>
      </w:r>
    </w:p>
    <w:p w14:paraId="075FEC16">
      <w:pPr>
        <w:widowControl/>
        <w:spacing w:line="360" w:lineRule="auto"/>
        <w:ind w:firstLine="482" w:firstLineChars="200"/>
        <w:rPr>
          <w:rFonts w:ascii="Times New Roman" w:hAnsi="Times New Roman" w:eastAsia="宋体" w:cs="Times New Roman"/>
          <w:b/>
          <w:bCs/>
          <w:sz w:val="24"/>
        </w:rPr>
      </w:pPr>
      <w:bookmarkStart w:id="20" w:name="OLE_LINK7"/>
      <w:r>
        <w:rPr>
          <w:rFonts w:ascii="Times New Roman" w:hAnsi="Times New Roman" w:eastAsia="宋体" w:cs="Times New Roman"/>
          <w:b/>
          <w:bCs/>
          <w:sz w:val="24"/>
        </w:rPr>
        <w:t>4　饲养场建设</w:t>
      </w:r>
    </w:p>
    <w:bookmarkEnd w:id="20"/>
    <w:p w14:paraId="2004AE03">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标准文本</w:t>
      </w:r>
    </w:p>
    <w:p w14:paraId="4B28D556">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4.1　饲养场环境要求</w:t>
      </w:r>
    </w:p>
    <w:p w14:paraId="61BF72AA">
      <w:pPr>
        <w:autoSpaceDE w:val="0"/>
        <w:autoSpaceDN w:val="0"/>
        <w:adjustRightInd w:val="0"/>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饲养场环境应符合NY/T 682的要求。</w:t>
      </w:r>
    </w:p>
    <w:p w14:paraId="3B2850F3">
      <w:pPr>
        <w:pStyle w:val="6"/>
        <w:spacing w:after="0" w:line="360" w:lineRule="auto"/>
        <w:ind w:firstLine="200"/>
        <w:rPr>
          <w:rFonts w:ascii="Times New Roman" w:hAnsi="Times New Roman" w:eastAsia="宋体" w:cs="Times New Roman"/>
          <w:b/>
          <w:bCs/>
          <w:spacing w:val="-7"/>
          <w:sz w:val="24"/>
        </w:rPr>
      </w:pPr>
      <w:r>
        <w:rPr>
          <w:rFonts w:ascii="Times New Roman" w:hAnsi="Times New Roman" w:eastAsia="宋体" w:cs="Times New Roman"/>
          <w:b/>
          <w:bCs/>
          <w:spacing w:val="-7"/>
          <w:sz w:val="24"/>
        </w:rPr>
        <w:t>制定依据：</w:t>
      </w:r>
    </w:p>
    <w:p w14:paraId="6DCEF085">
      <w:pPr>
        <w:autoSpaceDE w:val="0"/>
        <w:autoSpaceDN w:val="0"/>
        <w:adjustRightInd w:val="0"/>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依据《NY/T 682畜禽场场区设计技术规范》，结合通辽肉牛的生长环境制定了相关条款。</w:t>
      </w:r>
    </w:p>
    <w:p w14:paraId="28151422">
      <w:pPr>
        <w:autoSpaceDE w:val="0"/>
        <w:autoSpaceDN w:val="0"/>
        <w:adjustRightInd w:val="0"/>
        <w:spacing w:line="360" w:lineRule="auto"/>
        <w:ind w:firstLine="482" w:firstLineChars="200"/>
        <w:rPr>
          <w:rFonts w:ascii="Times New Roman" w:hAnsi="Times New Roman" w:eastAsia="宋体" w:cs="Times New Roman"/>
          <w:b/>
          <w:bCs/>
          <w:kern w:val="0"/>
          <w:sz w:val="24"/>
        </w:rPr>
      </w:pPr>
      <w:r>
        <w:rPr>
          <w:rFonts w:ascii="Times New Roman" w:hAnsi="Times New Roman" w:eastAsia="宋体" w:cs="Times New Roman"/>
          <w:b/>
          <w:bCs/>
          <w:kern w:val="0"/>
          <w:sz w:val="24"/>
        </w:rPr>
        <w:t>标准文本</w:t>
      </w:r>
    </w:p>
    <w:p w14:paraId="665FD40B">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4.2　选址与布局</w:t>
      </w:r>
    </w:p>
    <w:p w14:paraId="0556A675">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4.2.1　牛舍选址应在地势干燥、背风向阳、水源充足、排水良好的地方修建，周围延场向外≤500 m范围内应设保护区免受外界污染。</w:t>
      </w:r>
    </w:p>
    <w:p w14:paraId="22B4BF0C">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4.2.2　场区内道路应硬化，裸露地面绿化，净道和污道互不交叉。</w:t>
      </w:r>
    </w:p>
    <w:p w14:paraId="6FA34B36">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4.3</w:t>
      </w:r>
      <w:bookmarkStart w:id="21" w:name="_Hlk198736219"/>
      <w:r>
        <w:rPr>
          <w:rFonts w:ascii="Times New Roman" w:hAnsi="Times New Roman" w:eastAsia="黑体" w:cs="Times New Roman"/>
          <w:kern w:val="0"/>
          <w:sz w:val="24"/>
        </w:rPr>
        <w:t>　生产设施与设备</w:t>
      </w:r>
      <w:bookmarkEnd w:id="21"/>
    </w:p>
    <w:p w14:paraId="7250455B">
      <w:pPr>
        <w:autoSpaceDE w:val="0"/>
        <w:autoSpaceDN w:val="0"/>
        <w:adjustRightInd w:val="0"/>
        <w:spacing w:line="360" w:lineRule="auto"/>
        <w:ind w:firstLine="452" w:firstLineChars="200"/>
        <w:jc w:val="left"/>
        <w:rPr>
          <w:rFonts w:ascii="Times New Roman" w:hAnsi="Times New Roman" w:eastAsia="宋体" w:cs="Times New Roman"/>
          <w:spacing w:val="-7"/>
          <w:sz w:val="24"/>
        </w:rPr>
      </w:pPr>
      <w:r>
        <w:rPr>
          <w:rFonts w:ascii="Times New Roman" w:hAnsi="Times New Roman" w:eastAsia="宋体" w:cs="Times New Roman"/>
          <w:spacing w:val="-7"/>
          <w:sz w:val="24"/>
        </w:rPr>
        <w:t>应符合NY/T 2663的规定。</w:t>
      </w:r>
    </w:p>
    <w:p w14:paraId="2E6A5B3D">
      <w:pPr>
        <w:spacing w:line="360" w:lineRule="auto"/>
        <w:ind w:firstLine="518" w:firstLineChars="200"/>
        <w:rPr>
          <w:rFonts w:ascii="Times New Roman" w:hAnsi="Times New Roman" w:eastAsia="宋体" w:cs="Times New Roman"/>
          <w:b/>
          <w:bCs/>
          <w:spacing w:val="9"/>
          <w:sz w:val="24"/>
        </w:rPr>
      </w:pPr>
      <w:r>
        <w:rPr>
          <w:rFonts w:ascii="Times New Roman" w:hAnsi="Times New Roman" w:eastAsia="宋体" w:cs="Times New Roman"/>
          <w:b/>
          <w:bCs/>
          <w:spacing w:val="9"/>
          <w:sz w:val="24"/>
        </w:rPr>
        <w:t>制定依据：</w:t>
      </w:r>
    </w:p>
    <w:p w14:paraId="2F2D5FE9">
      <w:pPr>
        <w:spacing w:line="360" w:lineRule="auto"/>
        <w:ind w:firstLine="452" w:firstLineChars="200"/>
        <w:rPr>
          <w:rFonts w:ascii="Times New Roman" w:hAnsi="Times New Roman" w:eastAsia="宋体" w:cs="Times New Roman"/>
          <w:spacing w:val="-7"/>
          <w:sz w:val="24"/>
        </w:rPr>
      </w:pPr>
      <w:r>
        <w:rPr>
          <w:rFonts w:ascii="Times New Roman" w:hAnsi="Times New Roman" w:eastAsia="宋体" w:cs="Times New Roman"/>
          <w:spacing w:val="-7"/>
          <w:sz w:val="24"/>
        </w:rPr>
        <w:t>参考《</w:t>
      </w:r>
      <w:bookmarkStart w:id="22" w:name="_Hlk198821488"/>
      <w:r>
        <w:rPr>
          <w:rFonts w:ascii="Times New Roman" w:hAnsi="Times New Roman" w:eastAsia="宋体" w:cs="Times New Roman"/>
          <w:spacing w:val="-7"/>
          <w:sz w:val="24"/>
        </w:rPr>
        <w:t>NY/T 2663-2014 标准化养殖场 肉牛</w:t>
      </w:r>
      <w:bookmarkEnd w:id="22"/>
      <w:r>
        <w:rPr>
          <w:rFonts w:ascii="Times New Roman" w:hAnsi="Times New Roman" w:eastAsia="宋体" w:cs="Times New Roman"/>
          <w:spacing w:val="-7"/>
          <w:sz w:val="24"/>
        </w:rPr>
        <w:t>》，</w:t>
      </w:r>
      <w:r>
        <w:rPr>
          <w:rFonts w:ascii="Times New Roman" w:hAnsi="Times New Roman" w:eastAsia="宋体" w:cs="Times New Roman"/>
          <w:sz w:val="24"/>
        </w:rPr>
        <w:t>并结合通辽地区实际的养殖环境制定了相关条款。</w:t>
      </w:r>
    </w:p>
    <w:p w14:paraId="36F71EE5">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5　日常管理</w:t>
      </w:r>
    </w:p>
    <w:p w14:paraId="427D237F">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标准文本</w:t>
      </w:r>
    </w:p>
    <w:p w14:paraId="4169050B">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5.1　人员管理</w:t>
      </w:r>
    </w:p>
    <w:p w14:paraId="5FD7D4A7">
      <w:pPr>
        <w:autoSpaceDE w:val="0"/>
        <w:autoSpaceDN w:val="0"/>
        <w:adjustRightInd w:val="0"/>
        <w:spacing w:line="360" w:lineRule="auto"/>
        <w:ind w:firstLine="480" w:firstLineChars="200"/>
        <w:rPr>
          <w:rFonts w:ascii="Times New Roman" w:hAnsi="Times New Roman" w:eastAsia="宋体" w:cs="Times New Roman"/>
          <w:kern w:val="0"/>
          <w:sz w:val="24"/>
        </w:rPr>
      </w:pPr>
      <w:bookmarkStart w:id="23" w:name="_Hlk198737138"/>
      <w:r>
        <w:rPr>
          <w:rFonts w:ascii="Times New Roman" w:hAnsi="Times New Roman" w:eastAsia="宋体" w:cs="Times New Roman"/>
          <w:kern w:val="0"/>
          <w:sz w:val="24"/>
        </w:rPr>
        <w:t>5.1.1　根据生产需要定岗定责，执行各项规章制度。</w:t>
      </w:r>
    </w:p>
    <w:p w14:paraId="7605E16F">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5.1.2　饲养场工作人员定期进行健康检查，有传染病者不得从事饲养工作。</w:t>
      </w:r>
    </w:p>
    <w:p w14:paraId="5AA64633">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5.1.3　饲养场工作人员定期进行技术培训，新增人员应经过岗前培训。</w:t>
      </w:r>
    </w:p>
    <w:p w14:paraId="37DFFB81">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5.1.4　饲养场工作人员进入牛舍，必须穿工作服、工作鞋、工作帽。</w:t>
      </w:r>
    </w:p>
    <w:p w14:paraId="49490EB4">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5.1.5　外来人员进入生产区要按规定程序消毒，更换防护衣、帽和鞋。</w:t>
      </w:r>
    </w:p>
    <w:p w14:paraId="120CA390">
      <w:pPr>
        <w:pStyle w:val="2"/>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制定依据：</w:t>
      </w:r>
      <w:bookmarkEnd w:id="23"/>
    </w:p>
    <w:p w14:paraId="5D7464F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参考国内养殖场的相关标准，并结合通辽肉饲养场管理的实际需求，对人员管理进行了规定。</w:t>
      </w:r>
    </w:p>
    <w:p w14:paraId="6250FD2A">
      <w:pPr>
        <w:autoSpaceDE w:val="0"/>
        <w:autoSpaceDN w:val="0"/>
        <w:adjustRightInd w:val="0"/>
        <w:spacing w:line="360" w:lineRule="auto"/>
        <w:ind w:firstLine="482" w:firstLineChars="200"/>
        <w:rPr>
          <w:rFonts w:ascii="Times New Roman" w:hAnsi="Times New Roman" w:eastAsia="宋体" w:cs="Times New Roman"/>
          <w:b/>
          <w:bCs/>
          <w:kern w:val="0"/>
          <w:sz w:val="24"/>
        </w:rPr>
      </w:pPr>
      <w:r>
        <w:rPr>
          <w:rFonts w:ascii="Times New Roman" w:hAnsi="Times New Roman" w:eastAsia="宋体" w:cs="Times New Roman"/>
          <w:b/>
          <w:bCs/>
          <w:kern w:val="0"/>
          <w:sz w:val="24"/>
        </w:rPr>
        <w:t>标准文本</w:t>
      </w:r>
    </w:p>
    <w:p w14:paraId="3C686984">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 xml:space="preserve">5.2　环境控制 </w:t>
      </w:r>
    </w:p>
    <w:p w14:paraId="0CA4CEBD">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5.2.1　及时打扫圈舍清理粪尿，勤换垫草，减少疾病发生。</w:t>
      </w:r>
    </w:p>
    <w:p w14:paraId="299BDDB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5.2.2　保持地面清洁，保持料槽水槽洁净。</w:t>
      </w:r>
    </w:p>
    <w:p w14:paraId="73415261">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5.2.3　夏季应防暑降温，冬季应防寒保暖，保证通风良好。</w:t>
      </w:r>
    </w:p>
    <w:p w14:paraId="0B9DEB10">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 xml:space="preserve">5.3　安全管理 </w:t>
      </w:r>
    </w:p>
    <w:p w14:paraId="444F748B">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5.3.1　执行安全管理的相关规定，防火防水防盗。</w:t>
      </w:r>
    </w:p>
    <w:p w14:paraId="3736C70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5.3.2　注意人员及牛只安全防护，减少外界应激对牛只的影响。</w:t>
      </w:r>
    </w:p>
    <w:p w14:paraId="2AE1B7C1">
      <w:pPr>
        <w:autoSpaceDE w:val="0"/>
        <w:autoSpaceDN w:val="0"/>
        <w:adjustRightInd w:val="0"/>
        <w:spacing w:line="360" w:lineRule="auto"/>
        <w:ind w:firstLine="482" w:firstLineChars="200"/>
        <w:rPr>
          <w:rFonts w:ascii="Times New Roman" w:hAnsi="Times New Roman" w:eastAsia="宋体" w:cs="Times New Roman"/>
          <w:b/>
          <w:bCs/>
          <w:sz w:val="24"/>
        </w:rPr>
      </w:pPr>
      <w:bookmarkStart w:id="24" w:name="_Hlk198744539"/>
      <w:r>
        <w:rPr>
          <w:rFonts w:ascii="Times New Roman" w:hAnsi="Times New Roman" w:eastAsia="宋体" w:cs="Times New Roman"/>
          <w:b/>
          <w:bCs/>
          <w:sz w:val="24"/>
        </w:rPr>
        <w:t>制定依据：</w:t>
      </w:r>
    </w:p>
    <w:p w14:paraId="0BC43D1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 xml:space="preserve">参考国内《NY/T 388 畜禽场环境质量标准》、《NY/T 5128-2002 无公害食品 肉牛饲养管理准则》等相关标准和规程，并结合通辽地区的气候特点制定了相关条款。 </w:t>
      </w:r>
    </w:p>
    <w:bookmarkEnd w:id="24"/>
    <w:p w14:paraId="1A24F3FA">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6　饲养投入品管理</w:t>
      </w:r>
    </w:p>
    <w:p w14:paraId="226BCC2F">
      <w:pPr>
        <w:spacing w:line="360" w:lineRule="auto"/>
        <w:ind w:firstLine="518" w:firstLineChars="200"/>
        <w:rPr>
          <w:rFonts w:ascii="Times New Roman" w:hAnsi="Times New Roman" w:eastAsia="宋体" w:cs="Times New Roman"/>
          <w:b/>
          <w:bCs/>
          <w:spacing w:val="9"/>
          <w:sz w:val="24"/>
        </w:rPr>
      </w:pPr>
      <w:bookmarkStart w:id="25" w:name="_Hlk198803636"/>
      <w:r>
        <w:rPr>
          <w:rFonts w:ascii="Times New Roman" w:hAnsi="Times New Roman" w:eastAsia="宋体" w:cs="Times New Roman"/>
          <w:b/>
          <w:bCs/>
          <w:spacing w:val="9"/>
          <w:sz w:val="24"/>
        </w:rPr>
        <w:t>标准文本</w:t>
      </w:r>
    </w:p>
    <w:bookmarkEnd w:id="25"/>
    <w:p w14:paraId="16B089CD">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6.1　饮水管理</w:t>
      </w:r>
    </w:p>
    <w:p w14:paraId="555B18E4">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6.1.1　水质符合GB 5749的要求。</w:t>
      </w:r>
    </w:p>
    <w:p w14:paraId="22D6C908">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6.1.2　每个圈舍设置饮水槽，满足自由饮水的要求。</w:t>
      </w:r>
    </w:p>
    <w:p w14:paraId="24EB0875">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6.1.3　夏季为常温饮水，冬季适宜饮水温度为15~25℃。</w:t>
      </w:r>
    </w:p>
    <w:p w14:paraId="3017F330">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6.1.4　饮水设备定期清洗、消毒。</w:t>
      </w:r>
    </w:p>
    <w:p w14:paraId="028B5DDD">
      <w:pPr>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制定依据：</w:t>
      </w:r>
    </w:p>
    <w:p w14:paraId="4F4E4DC3">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依据GB 5749 《生活饮用水卫生标准》中的要求，结合通辽地区实际养殖情况对饮水管理进行了规定。</w:t>
      </w:r>
    </w:p>
    <w:p w14:paraId="3F623B02">
      <w:pPr>
        <w:spacing w:line="360" w:lineRule="auto"/>
        <w:ind w:firstLine="518" w:firstLineChars="200"/>
        <w:rPr>
          <w:rFonts w:ascii="Times New Roman" w:hAnsi="Times New Roman" w:eastAsia="宋体" w:cs="Times New Roman"/>
          <w:b/>
          <w:bCs/>
          <w:spacing w:val="9"/>
          <w:sz w:val="24"/>
        </w:rPr>
      </w:pPr>
      <w:bookmarkStart w:id="26" w:name="_Hlk199336607"/>
      <w:r>
        <w:rPr>
          <w:rFonts w:ascii="Times New Roman" w:hAnsi="Times New Roman" w:eastAsia="宋体" w:cs="Times New Roman"/>
          <w:b/>
          <w:bCs/>
          <w:spacing w:val="9"/>
          <w:sz w:val="24"/>
        </w:rPr>
        <w:t>标准文本</w:t>
      </w:r>
    </w:p>
    <w:bookmarkEnd w:id="26"/>
    <w:p w14:paraId="0AE97B69">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6.2　饲料管理</w:t>
      </w:r>
    </w:p>
    <w:p w14:paraId="5056159D">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6.2.1　定期对饲料原料进行采样和化验，不应喂发霉和变质的饲料和饲草。</w:t>
      </w:r>
    </w:p>
    <w:p w14:paraId="1187FA1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6.2.2　饲料原料的产地环境应符合NY/T 391的要求。</w:t>
      </w:r>
    </w:p>
    <w:p w14:paraId="2891CD80">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6.2.3　饲料原料和饲料添加剂的使用应符合GB 13078的要求。</w:t>
      </w:r>
    </w:p>
    <w:p w14:paraId="7C85611E">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6.2.4　 粗饲料宜选用通辽地区生产的优质牧草、紫花苜蓿和青贮玉米秸秆。</w:t>
      </w:r>
    </w:p>
    <w:p w14:paraId="23EBAFE4">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6.2.5　能量饲料宜选用通辽地区生产的优质黄玉米，饲喂前应经破碎或压扁，粉碎不易过细。</w:t>
      </w:r>
    </w:p>
    <w:p w14:paraId="5C93270E">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6.2.6　青贮饲料的制备和使用应符合NY/T 2696的要求。</w:t>
      </w:r>
    </w:p>
    <w:p w14:paraId="0D29652F">
      <w:pPr>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制定依据：</w:t>
      </w:r>
    </w:p>
    <w:p w14:paraId="32E4B239">
      <w:pPr>
        <w:spacing w:line="360" w:lineRule="auto"/>
        <w:ind w:firstLine="480" w:firstLineChars="200"/>
        <w:rPr>
          <w:rFonts w:ascii="Times New Roman" w:hAnsi="Times New Roman" w:cs="Times New Roman"/>
          <w:sz w:val="24"/>
          <w:szCs w:val="32"/>
        </w:rPr>
      </w:pPr>
      <w:r>
        <w:rPr>
          <w:rFonts w:ascii="Times New Roman" w:hAnsi="Times New Roman" w:cs="Times New Roman"/>
          <w:sz w:val="24"/>
          <w:szCs w:val="32"/>
        </w:rPr>
        <w:t>参考国内《GB 13078 饲料卫生标准》、NY/T 471 《绿色食品 饲料及饲料添加剂使用准则》以及《NY/T 2696 饲草青贮技术规程 玉米》等相关的标准，并结合通辽地区畜牧业优势资源制定了相关条款。</w:t>
      </w:r>
    </w:p>
    <w:p w14:paraId="32BAFC26">
      <w:pPr>
        <w:spacing w:line="360" w:lineRule="auto"/>
        <w:ind w:firstLine="518" w:firstLineChars="200"/>
        <w:rPr>
          <w:rFonts w:ascii="Times New Roman" w:hAnsi="Times New Roman" w:eastAsia="宋体" w:cs="Times New Roman"/>
          <w:b/>
          <w:bCs/>
          <w:spacing w:val="9"/>
          <w:sz w:val="24"/>
        </w:rPr>
      </w:pPr>
      <w:r>
        <w:rPr>
          <w:rFonts w:ascii="Times New Roman" w:hAnsi="Times New Roman" w:eastAsia="宋体" w:cs="Times New Roman"/>
          <w:b/>
          <w:bCs/>
          <w:spacing w:val="9"/>
          <w:sz w:val="24"/>
        </w:rPr>
        <w:t>标准文本</w:t>
      </w:r>
    </w:p>
    <w:p w14:paraId="55F51B4B">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6.3　疫苗和兽药管理</w:t>
      </w:r>
    </w:p>
    <w:p w14:paraId="3724FA04">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6.3.1　疫苗使用应符合NY 5126的要求</w:t>
      </w:r>
    </w:p>
    <w:p w14:paraId="20984944">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6.3.2　兽药使用应符合NY/T 472的规定</w:t>
      </w:r>
    </w:p>
    <w:p w14:paraId="1E57141F">
      <w:pPr>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制定依据：</w:t>
      </w:r>
    </w:p>
    <w:p w14:paraId="71B64CF3">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参考国内畜禽养殖的相关标准和规程并结合通辽肉牛实际养殖特性制定了相关条款。</w:t>
      </w:r>
    </w:p>
    <w:p w14:paraId="2D583DBC">
      <w:pPr>
        <w:spacing w:line="360" w:lineRule="auto"/>
        <w:ind w:firstLine="518" w:firstLineChars="200"/>
        <w:rPr>
          <w:rFonts w:ascii="Times New Roman" w:hAnsi="Times New Roman" w:eastAsia="宋体" w:cs="Times New Roman"/>
          <w:b/>
          <w:bCs/>
          <w:spacing w:val="9"/>
          <w:sz w:val="24"/>
        </w:rPr>
      </w:pPr>
      <w:bookmarkStart w:id="27" w:name="_Hlk198744488"/>
      <w:r>
        <w:rPr>
          <w:rFonts w:ascii="Times New Roman" w:hAnsi="Times New Roman" w:eastAsia="宋体" w:cs="Times New Roman"/>
          <w:b/>
          <w:bCs/>
          <w:spacing w:val="9"/>
          <w:sz w:val="24"/>
        </w:rPr>
        <w:t>标准文本</w:t>
      </w:r>
    </w:p>
    <w:bookmarkEnd w:id="27"/>
    <w:p w14:paraId="0D3F7911">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7　饲养管理</w:t>
      </w:r>
    </w:p>
    <w:p w14:paraId="57143FF7">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 xml:space="preserve">7.1　通辽犊牛的饲养管理 </w:t>
      </w:r>
    </w:p>
    <w:p w14:paraId="3EE6C8D0">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7.1.1</w:t>
      </w:r>
      <w:r>
        <w:rPr>
          <w:rFonts w:ascii="Times New Roman" w:hAnsi="Times New Roman" w:eastAsia="宋体" w:cs="Times New Roman"/>
          <w:b/>
          <w:bCs/>
          <w:sz w:val="24"/>
        </w:rPr>
        <w:t>　</w:t>
      </w:r>
      <w:r>
        <w:rPr>
          <w:rFonts w:ascii="Times New Roman" w:hAnsi="Times New Roman" w:eastAsia="宋体" w:cs="Times New Roman"/>
          <w:kern w:val="0"/>
          <w:sz w:val="24"/>
        </w:rPr>
        <w:t xml:space="preserve">饲养 </w:t>
      </w:r>
    </w:p>
    <w:p w14:paraId="36B2A47C">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7.1.1.1</w:t>
      </w:r>
      <w:r>
        <w:rPr>
          <w:rFonts w:ascii="Times New Roman" w:hAnsi="Times New Roman" w:eastAsia="宋体" w:cs="Times New Roman"/>
          <w:b/>
          <w:bCs/>
          <w:sz w:val="24"/>
        </w:rPr>
        <w:t>　</w:t>
      </w:r>
      <w:r>
        <w:rPr>
          <w:rFonts w:ascii="Times New Roman" w:hAnsi="Times New Roman" w:eastAsia="宋体" w:cs="Times New Roman"/>
          <w:kern w:val="0"/>
          <w:sz w:val="24"/>
        </w:rPr>
        <w:t>犊牛应在出生后1.5h内吃到初乳。</w:t>
      </w:r>
    </w:p>
    <w:p w14:paraId="7E5D097A">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7.1.1.2</w:t>
      </w:r>
      <w:r>
        <w:rPr>
          <w:rFonts w:ascii="Times New Roman" w:hAnsi="Times New Roman" w:eastAsia="宋体" w:cs="Times New Roman"/>
          <w:b/>
          <w:bCs/>
          <w:sz w:val="24"/>
        </w:rPr>
        <w:t>　</w:t>
      </w:r>
      <w:r>
        <w:rPr>
          <w:rFonts w:ascii="Times New Roman" w:hAnsi="Times New Roman" w:eastAsia="宋体" w:cs="Times New Roman"/>
          <w:kern w:val="0"/>
          <w:sz w:val="24"/>
        </w:rPr>
        <w:t>犊牛出生7日后，开始正式补饲犊牛料和粗饲料，粗饲料选用经过揉制的优质干草自由采食），任意采食粗饲料，控制精料的供给，防止腹泻、消化不良现象的发生。</w:t>
      </w:r>
    </w:p>
    <w:p w14:paraId="524184C1">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7.1.2</w:t>
      </w:r>
      <w:r>
        <w:rPr>
          <w:rFonts w:ascii="Times New Roman" w:hAnsi="Times New Roman" w:eastAsia="宋体" w:cs="Times New Roman"/>
          <w:b/>
          <w:bCs/>
          <w:sz w:val="24"/>
        </w:rPr>
        <w:t>　</w:t>
      </w:r>
      <w:r>
        <w:rPr>
          <w:rFonts w:ascii="Times New Roman" w:hAnsi="Times New Roman" w:eastAsia="宋体" w:cs="Times New Roman"/>
          <w:kern w:val="0"/>
          <w:sz w:val="24"/>
        </w:rPr>
        <w:t>管理</w:t>
      </w:r>
    </w:p>
    <w:p w14:paraId="26A8B91E">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7.1.2.1</w:t>
      </w:r>
      <w:r>
        <w:rPr>
          <w:rFonts w:ascii="Times New Roman" w:hAnsi="Times New Roman" w:eastAsia="宋体" w:cs="Times New Roman"/>
          <w:b/>
          <w:bCs/>
          <w:sz w:val="24"/>
        </w:rPr>
        <w:t>　</w:t>
      </w:r>
      <w:r>
        <w:rPr>
          <w:rFonts w:ascii="Times New Roman" w:hAnsi="Times New Roman" w:eastAsia="宋体" w:cs="Times New Roman"/>
          <w:kern w:val="0"/>
          <w:sz w:val="24"/>
        </w:rPr>
        <w:t>建档</w:t>
      </w:r>
    </w:p>
    <w:p w14:paraId="22FEE2A3">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犊牛吃第一次初乳前应称重，同时编号、佩戴耳标、建立档案。</w:t>
      </w:r>
    </w:p>
    <w:p w14:paraId="3EE1A621">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7.1.2.2</w:t>
      </w:r>
      <w:r>
        <w:rPr>
          <w:rFonts w:ascii="Times New Roman" w:hAnsi="Times New Roman" w:eastAsia="宋体" w:cs="Times New Roman"/>
          <w:b/>
          <w:bCs/>
          <w:sz w:val="24"/>
        </w:rPr>
        <w:t>　</w:t>
      </w:r>
      <w:r>
        <w:rPr>
          <w:rFonts w:ascii="Times New Roman" w:hAnsi="Times New Roman" w:eastAsia="宋体" w:cs="Times New Roman"/>
          <w:kern w:val="0"/>
          <w:sz w:val="24"/>
        </w:rPr>
        <w:t>防疫</w:t>
      </w:r>
    </w:p>
    <w:p w14:paraId="27494A81">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定期对犊牛进行驱虫、预防接种。</w:t>
      </w:r>
    </w:p>
    <w:p w14:paraId="4DCECA58">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7.1.2.3</w:t>
      </w:r>
      <w:r>
        <w:rPr>
          <w:rFonts w:ascii="Times New Roman" w:hAnsi="Times New Roman" w:eastAsia="宋体" w:cs="Times New Roman"/>
          <w:b/>
          <w:bCs/>
          <w:sz w:val="24"/>
        </w:rPr>
        <w:t>　</w:t>
      </w:r>
      <w:r>
        <w:rPr>
          <w:rFonts w:ascii="Times New Roman" w:hAnsi="Times New Roman" w:eastAsia="宋体" w:cs="Times New Roman"/>
          <w:kern w:val="0"/>
          <w:sz w:val="24"/>
        </w:rPr>
        <w:t>环境</w:t>
      </w:r>
    </w:p>
    <w:p w14:paraId="41BBEEAF">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犊牛出生可在舍内、外运动场活动，夏天气温高时可驱赶到荫凉处降温，冬季气温低时可铺设干燥厚垫草防寒。</w:t>
      </w:r>
    </w:p>
    <w:p w14:paraId="6457A292">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7.1.2.4</w:t>
      </w:r>
      <w:r>
        <w:rPr>
          <w:rFonts w:ascii="Times New Roman" w:hAnsi="Times New Roman" w:eastAsia="宋体" w:cs="Times New Roman"/>
          <w:b/>
          <w:bCs/>
          <w:sz w:val="24"/>
        </w:rPr>
        <w:t>　</w:t>
      </w:r>
      <w:r>
        <w:rPr>
          <w:rFonts w:ascii="Times New Roman" w:hAnsi="Times New Roman" w:eastAsia="宋体" w:cs="Times New Roman"/>
          <w:kern w:val="0"/>
          <w:sz w:val="24"/>
        </w:rPr>
        <w:t>分群</w:t>
      </w:r>
    </w:p>
    <w:p w14:paraId="7023DB4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 xml:space="preserve">断奶犊牛按性别和体重进行分群，每群控制在15～20头为宜。 </w:t>
      </w:r>
    </w:p>
    <w:p w14:paraId="10491B0E">
      <w:pPr>
        <w:pStyle w:val="6"/>
        <w:spacing w:after="0" w:line="360" w:lineRule="auto"/>
        <w:ind w:firstLine="514" w:firstLineChars="200"/>
        <w:rPr>
          <w:rFonts w:ascii="Times New Roman" w:hAnsi="Times New Roman" w:eastAsia="宋体" w:cs="Times New Roman"/>
          <w:b/>
          <w:bCs/>
          <w:spacing w:val="8"/>
          <w:sz w:val="24"/>
        </w:rPr>
      </w:pPr>
      <w:r>
        <w:rPr>
          <w:rFonts w:ascii="Times New Roman" w:hAnsi="Times New Roman" w:eastAsia="宋体" w:cs="Times New Roman"/>
          <w:b/>
          <w:bCs/>
          <w:spacing w:val="8"/>
          <w:sz w:val="24"/>
        </w:rPr>
        <w:t>制定依据：</w:t>
      </w:r>
    </w:p>
    <w:p w14:paraId="4E69CBBA">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依据《GB/T 37116-2018后备奶牛饲养技术规范》中关于犊牛饲养管理的相关要求，结合通辽地区犊牛实际养殖情况制定了相关条款。</w:t>
      </w:r>
    </w:p>
    <w:p w14:paraId="087EE5FF">
      <w:pPr>
        <w:widowControl/>
        <w:spacing w:line="360" w:lineRule="auto"/>
        <w:ind w:firstLine="518" w:firstLineChars="200"/>
        <w:rPr>
          <w:rFonts w:ascii="Times New Roman" w:hAnsi="Times New Roman" w:eastAsia="宋体" w:cs="Times New Roman"/>
          <w:b/>
          <w:bCs/>
          <w:spacing w:val="9"/>
          <w:sz w:val="24"/>
        </w:rPr>
      </w:pPr>
      <w:r>
        <w:rPr>
          <w:rFonts w:ascii="Times New Roman" w:hAnsi="Times New Roman" w:eastAsia="宋体" w:cs="Times New Roman"/>
          <w:b/>
          <w:bCs/>
          <w:spacing w:val="9"/>
          <w:sz w:val="24"/>
        </w:rPr>
        <w:t>标准文本</w:t>
      </w:r>
    </w:p>
    <w:p w14:paraId="2A9FF555">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7.2　通辽育肥牛的饲养管理</w:t>
      </w:r>
    </w:p>
    <w:p w14:paraId="7F511300">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7.2.1　饲养方式</w:t>
      </w:r>
    </w:p>
    <w:p w14:paraId="18369DDE">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宜采用散栏式饲养。</w:t>
      </w:r>
    </w:p>
    <w:p w14:paraId="4D4E4C9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7.2.2　饲喂原则</w:t>
      </w:r>
    </w:p>
    <w:p w14:paraId="02530CE4">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 xml:space="preserve">以青粗饲料为主，精料补充料为辅，其中青粗饲料宜选用通辽地区优质饲草、紫花苜蓿和全株玉米青贮饲料。 </w:t>
      </w:r>
    </w:p>
    <w:p w14:paraId="190F298B">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7.2.3</w:t>
      </w:r>
      <w:r>
        <w:rPr>
          <w:rFonts w:ascii="Times New Roman" w:hAnsi="Times New Roman" w:eastAsia="宋体" w:cs="Times New Roman"/>
          <w:b/>
          <w:bCs/>
          <w:sz w:val="24"/>
        </w:rPr>
        <w:t>　</w:t>
      </w:r>
      <w:r>
        <w:rPr>
          <w:rFonts w:ascii="Times New Roman" w:hAnsi="Times New Roman" w:eastAsia="宋体" w:cs="Times New Roman"/>
          <w:kern w:val="0"/>
          <w:sz w:val="24"/>
        </w:rPr>
        <w:t>育肥方式</w:t>
      </w:r>
    </w:p>
    <w:p w14:paraId="1102ED01">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7.2.3.1</w:t>
      </w:r>
      <w:r>
        <w:rPr>
          <w:rFonts w:ascii="Times New Roman" w:hAnsi="Times New Roman" w:eastAsia="宋体" w:cs="Times New Roman"/>
          <w:b/>
          <w:bCs/>
          <w:sz w:val="24"/>
        </w:rPr>
        <w:t>　</w:t>
      </w:r>
      <w:r>
        <w:rPr>
          <w:rFonts w:ascii="Times New Roman" w:hAnsi="Times New Roman" w:eastAsia="宋体" w:cs="Times New Roman"/>
          <w:kern w:val="0"/>
          <w:sz w:val="24"/>
        </w:rPr>
        <w:t>采用分阶段育肥的方式。</w:t>
      </w:r>
    </w:p>
    <w:p w14:paraId="384AF10B">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7.2.3.2</w:t>
      </w:r>
      <w:r>
        <w:rPr>
          <w:rFonts w:ascii="Times New Roman" w:hAnsi="Times New Roman" w:eastAsia="宋体" w:cs="Times New Roman"/>
          <w:b/>
          <w:bCs/>
          <w:sz w:val="24"/>
        </w:rPr>
        <w:t>　</w:t>
      </w:r>
      <w:r>
        <w:rPr>
          <w:rFonts w:ascii="Times New Roman" w:hAnsi="Times New Roman" w:eastAsia="宋体" w:cs="Times New Roman"/>
          <w:kern w:val="0"/>
          <w:sz w:val="24"/>
        </w:rPr>
        <w:t>前期育肥阶段（250kg~400kg）的精料和粗料比宜为50%:50%，精料补充料中粗蛋白含量在13~14%。</w:t>
      </w:r>
    </w:p>
    <w:p w14:paraId="2E0DF6E2">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7.2.3.3</w:t>
      </w:r>
      <w:r>
        <w:rPr>
          <w:rFonts w:ascii="Times New Roman" w:hAnsi="Times New Roman" w:eastAsia="宋体" w:cs="Times New Roman"/>
          <w:b/>
          <w:bCs/>
          <w:sz w:val="24"/>
        </w:rPr>
        <w:t>　</w:t>
      </w:r>
      <w:r>
        <w:rPr>
          <w:rFonts w:ascii="Times New Roman" w:hAnsi="Times New Roman" w:eastAsia="宋体" w:cs="Times New Roman"/>
          <w:kern w:val="0"/>
          <w:sz w:val="24"/>
        </w:rPr>
        <w:t>中期育肥阶段（400kg~500kg）的精料和粗料比宜为60%:40%，精料补充料中粗蛋白含量在11~12%。</w:t>
      </w:r>
    </w:p>
    <w:p w14:paraId="61897690">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7.2.3.4</w:t>
      </w:r>
      <w:r>
        <w:rPr>
          <w:rFonts w:ascii="Times New Roman" w:hAnsi="Times New Roman" w:eastAsia="宋体" w:cs="Times New Roman"/>
          <w:b/>
          <w:bCs/>
          <w:sz w:val="24"/>
        </w:rPr>
        <w:t>　</w:t>
      </w:r>
      <w:r>
        <w:rPr>
          <w:rFonts w:ascii="Times New Roman" w:hAnsi="Times New Roman" w:eastAsia="宋体" w:cs="Times New Roman"/>
          <w:kern w:val="0"/>
          <w:sz w:val="24"/>
        </w:rPr>
        <w:t>后期育肥阶段（500kg~出栏）的精料和粗料比宜为70%:30%，精料补充料中粗蛋白含量在10~12%。</w:t>
      </w:r>
    </w:p>
    <w:p w14:paraId="03922B28">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7.3</w:t>
      </w:r>
      <w:r>
        <w:rPr>
          <w:rFonts w:ascii="Times New Roman" w:hAnsi="Times New Roman" w:eastAsia="宋体" w:cs="Times New Roman"/>
          <w:b/>
          <w:bCs/>
          <w:sz w:val="24"/>
        </w:rPr>
        <w:t>　</w:t>
      </w:r>
      <w:r>
        <w:rPr>
          <w:rFonts w:ascii="Times New Roman" w:hAnsi="Times New Roman" w:eastAsia="黑体" w:cs="Times New Roman"/>
          <w:kern w:val="0"/>
          <w:sz w:val="24"/>
        </w:rPr>
        <w:t>通辽母牛的饲养管理</w:t>
      </w:r>
    </w:p>
    <w:p w14:paraId="198E4339">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7.3.1</w:t>
      </w:r>
      <w:r>
        <w:rPr>
          <w:rFonts w:ascii="Times New Roman" w:hAnsi="Times New Roman" w:eastAsia="宋体" w:cs="Times New Roman"/>
          <w:b/>
          <w:bCs/>
          <w:sz w:val="24"/>
        </w:rPr>
        <w:t>　</w:t>
      </w:r>
      <w:r>
        <w:rPr>
          <w:rFonts w:ascii="Times New Roman" w:hAnsi="Times New Roman" w:eastAsia="宋体" w:cs="Times New Roman"/>
          <w:kern w:val="0"/>
          <w:sz w:val="24"/>
        </w:rPr>
        <w:t>分群</w:t>
      </w:r>
    </w:p>
    <w:p w14:paraId="01B5A333">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分为青年母牛、妊娠母牛、围产期母牛和泌乳母牛。</w:t>
      </w:r>
    </w:p>
    <w:p w14:paraId="30428590">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7.3.2</w:t>
      </w:r>
      <w:r>
        <w:rPr>
          <w:rFonts w:ascii="Times New Roman" w:hAnsi="Times New Roman" w:eastAsia="宋体" w:cs="Times New Roman"/>
          <w:b/>
          <w:bCs/>
          <w:sz w:val="24"/>
        </w:rPr>
        <w:t>　</w:t>
      </w:r>
      <w:r>
        <w:rPr>
          <w:rFonts w:ascii="Times New Roman" w:hAnsi="Times New Roman" w:eastAsia="宋体" w:cs="Times New Roman"/>
          <w:kern w:val="0"/>
          <w:sz w:val="24"/>
        </w:rPr>
        <w:t>饲养</w:t>
      </w:r>
    </w:p>
    <w:p w14:paraId="030ABB5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按照</w:t>
      </w:r>
      <w:bookmarkStart w:id="28" w:name="OLE_LINK4"/>
      <w:bookmarkStart w:id="29" w:name="OLE_LINK5"/>
      <w:r>
        <w:rPr>
          <w:rFonts w:ascii="Times New Roman" w:hAnsi="Times New Roman" w:eastAsia="宋体" w:cs="Times New Roman"/>
          <w:kern w:val="0"/>
          <w:sz w:val="24"/>
        </w:rPr>
        <w:t>NY/T 815</w:t>
      </w:r>
      <w:bookmarkEnd w:id="28"/>
      <w:bookmarkEnd w:id="29"/>
      <w:r>
        <w:rPr>
          <w:rFonts w:ascii="Times New Roman" w:hAnsi="Times New Roman" w:eastAsia="宋体" w:cs="Times New Roman"/>
          <w:kern w:val="0"/>
          <w:sz w:val="24"/>
        </w:rPr>
        <w:t>的规定执行</w:t>
      </w:r>
    </w:p>
    <w:p w14:paraId="079306D6">
      <w:pPr>
        <w:pStyle w:val="6"/>
        <w:spacing w:after="0" w:line="360" w:lineRule="auto"/>
        <w:ind w:firstLine="514" w:firstLineChars="200"/>
        <w:rPr>
          <w:rFonts w:ascii="Times New Roman" w:hAnsi="Times New Roman" w:eastAsia="宋体" w:cs="Times New Roman"/>
          <w:b/>
          <w:bCs/>
          <w:spacing w:val="8"/>
          <w:sz w:val="24"/>
        </w:rPr>
      </w:pPr>
      <w:r>
        <w:rPr>
          <w:rFonts w:ascii="Times New Roman" w:hAnsi="Times New Roman" w:eastAsia="宋体" w:cs="Times New Roman"/>
          <w:b/>
          <w:bCs/>
          <w:spacing w:val="8"/>
          <w:sz w:val="24"/>
        </w:rPr>
        <w:t>制定依据：</w:t>
      </w:r>
    </w:p>
    <w:p w14:paraId="55A0C2BA">
      <w:pPr>
        <w:pStyle w:val="6"/>
        <w:spacing w:after="0" w:line="360" w:lineRule="auto"/>
        <w:ind w:firstLine="480" w:firstLineChars="200"/>
        <w:rPr>
          <w:rFonts w:ascii="Times New Roman" w:hAnsi="Times New Roman" w:cs="Times New Roman"/>
          <w:sz w:val="24"/>
          <w:szCs w:val="32"/>
        </w:rPr>
      </w:pPr>
      <w:r>
        <w:rPr>
          <w:rFonts w:ascii="Times New Roman" w:hAnsi="Times New Roman" w:cs="Times New Roman"/>
          <w:sz w:val="24"/>
          <w:szCs w:val="32"/>
        </w:rPr>
        <w:t>参考NY/T 815-2004《</w:t>
      </w:r>
      <w:bookmarkStart w:id="30" w:name="OLE_LINK2"/>
      <w:r>
        <w:rPr>
          <w:rFonts w:ascii="Times New Roman" w:hAnsi="Times New Roman" w:cs="Times New Roman"/>
          <w:sz w:val="24"/>
          <w:szCs w:val="32"/>
        </w:rPr>
        <w:t>肉牛饲养标准</w:t>
      </w:r>
      <w:bookmarkEnd w:id="30"/>
      <w:r>
        <w:rPr>
          <w:rFonts w:ascii="Times New Roman" w:hAnsi="Times New Roman" w:cs="Times New Roman"/>
          <w:sz w:val="24"/>
          <w:szCs w:val="32"/>
        </w:rPr>
        <w:t>》，结合通辽地区的气候、地方资源和肉牛育肥阶段的营养需求，提出了针对不同阶段的科学饲养和育肥管理要求，青粗饲料宜选用通辽地区优质饲草、紫花苜蓿和全珠玉米青贮饲料，</w:t>
      </w:r>
      <w:r>
        <w:rPr>
          <w:rFonts w:ascii="Times New Roman" w:hAnsi="Times New Roman" w:eastAsia="宋体" w:cs="Times New Roman"/>
          <w:kern w:val="0"/>
          <w:sz w:val="24"/>
        </w:rPr>
        <w:t>精料补充料富含矿物质、微量元素和维生素。</w:t>
      </w:r>
      <w:r>
        <w:rPr>
          <w:rFonts w:ascii="Times New Roman" w:hAnsi="Times New Roman" w:cs="Times New Roman"/>
          <w:sz w:val="24"/>
          <w:szCs w:val="32"/>
        </w:rPr>
        <w:t>对精粗料配比以及合适的蛋白含量</w:t>
      </w:r>
      <w:r>
        <w:rPr>
          <w:rFonts w:ascii="Times New Roman" w:hAnsi="Times New Roman" w:eastAsia="宋体" w:cs="Times New Roman"/>
          <w:sz w:val="24"/>
        </w:rPr>
        <w:t>标准进行了规定</w:t>
      </w:r>
      <w:r>
        <w:rPr>
          <w:rFonts w:ascii="Times New Roman" w:hAnsi="Times New Roman" w:cs="Times New Roman"/>
          <w:sz w:val="24"/>
          <w:szCs w:val="32"/>
        </w:rPr>
        <w:t>，前期育肥阶段日增重可保持在0.8</w:t>
      </w:r>
      <w:r>
        <w:rPr>
          <w:rFonts w:ascii="Times New Roman" w:hAnsi="Times New Roman" w:eastAsia="宋体" w:cs="Times New Roman"/>
          <w:kern w:val="0"/>
          <w:sz w:val="24"/>
        </w:rPr>
        <w:t>~</w:t>
      </w:r>
      <w:r>
        <w:rPr>
          <w:rFonts w:ascii="Times New Roman" w:hAnsi="Times New Roman" w:cs="Times New Roman"/>
          <w:sz w:val="24"/>
          <w:szCs w:val="32"/>
        </w:rPr>
        <w:t>1.2kg，</w:t>
      </w:r>
      <w:r>
        <w:rPr>
          <w:rFonts w:ascii="Times New Roman" w:hAnsi="Times New Roman" w:eastAsia="宋体" w:cs="Times New Roman"/>
          <w:kern w:val="0"/>
          <w:sz w:val="24"/>
        </w:rPr>
        <w:t>中期育肥阶段日增重可保持在1~1.2kg，后期育肥阶段日增重可保持在0.8~1kg。</w:t>
      </w:r>
    </w:p>
    <w:p w14:paraId="4FEC219C">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8　疫病防治</w:t>
      </w:r>
    </w:p>
    <w:p w14:paraId="1CC6DCE4">
      <w:pPr>
        <w:widowControl/>
        <w:spacing w:line="360" w:lineRule="auto"/>
        <w:ind w:firstLine="518" w:firstLineChars="200"/>
        <w:rPr>
          <w:rFonts w:ascii="Times New Roman" w:hAnsi="Times New Roman" w:eastAsia="宋体" w:cs="Times New Roman"/>
          <w:b/>
          <w:bCs/>
          <w:spacing w:val="9"/>
          <w:sz w:val="24"/>
        </w:rPr>
      </w:pPr>
      <w:r>
        <w:rPr>
          <w:rFonts w:ascii="Times New Roman" w:hAnsi="Times New Roman" w:eastAsia="宋体" w:cs="Times New Roman"/>
          <w:b/>
          <w:bCs/>
          <w:spacing w:val="9"/>
          <w:sz w:val="24"/>
        </w:rPr>
        <w:t>标准文本</w:t>
      </w:r>
    </w:p>
    <w:p w14:paraId="2B5A387F">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8.1　消毒</w:t>
      </w:r>
    </w:p>
    <w:p w14:paraId="3F363568">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 xml:space="preserve">消毒工作应按NY/T 3075的要求执行。 </w:t>
      </w:r>
    </w:p>
    <w:p w14:paraId="1DABA562">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8.2　防疫</w:t>
      </w:r>
    </w:p>
    <w:p w14:paraId="12C6ADD9">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8.2.1</w:t>
      </w:r>
      <w:r>
        <w:rPr>
          <w:rFonts w:ascii="Times New Roman" w:hAnsi="Times New Roman" w:eastAsia="宋体" w:cs="Times New Roman"/>
          <w:b/>
          <w:bCs/>
          <w:sz w:val="24"/>
        </w:rPr>
        <w:t>　</w:t>
      </w:r>
      <w:r>
        <w:rPr>
          <w:rFonts w:ascii="Times New Roman" w:hAnsi="Times New Roman" w:eastAsia="宋体" w:cs="Times New Roman"/>
          <w:kern w:val="0"/>
          <w:sz w:val="24"/>
        </w:rPr>
        <w:t>免疫接种</w:t>
      </w:r>
    </w:p>
    <w:p w14:paraId="5CF468D5">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饲养场常规疫病预防接种工作应符合国家有关法律和法规的规定。</w:t>
      </w:r>
    </w:p>
    <w:p w14:paraId="6C93D30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8.2.2</w:t>
      </w:r>
      <w:r>
        <w:rPr>
          <w:rFonts w:ascii="Times New Roman" w:hAnsi="Times New Roman" w:eastAsia="宋体" w:cs="Times New Roman"/>
          <w:b/>
          <w:bCs/>
          <w:sz w:val="24"/>
        </w:rPr>
        <w:t>　</w:t>
      </w:r>
      <w:r>
        <w:rPr>
          <w:rFonts w:ascii="Times New Roman" w:hAnsi="Times New Roman" w:eastAsia="宋体" w:cs="Times New Roman"/>
          <w:kern w:val="0"/>
          <w:sz w:val="24"/>
        </w:rPr>
        <w:t>布病检测</w:t>
      </w:r>
    </w:p>
    <w:p w14:paraId="2766911E">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场内3月龄以上的肉牛每半年检测1次。</w:t>
      </w:r>
    </w:p>
    <w:p w14:paraId="2C3551C0">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8.2.3</w:t>
      </w:r>
      <w:r>
        <w:rPr>
          <w:rFonts w:ascii="Times New Roman" w:hAnsi="Times New Roman" w:eastAsia="宋体" w:cs="Times New Roman"/>
          <w:b/>
          <w:bCs/>
          <w:sz w:val="24"/>
        </w:rPr>
        <w:t>　</w:t>
      </w:r>
      <w:r>
        <w:rPr>
          <w:rFonts w:ascii="Times New Roman" w:hAnsi="Times New Roman" w:eastAsia="宋体" w:cs="Times New Roman"/>
          <w:kern w:val="0"/>
          <w:sz w:val="24"/>
        </w:rPr>
        <w:t>检疫监管</w:t>
      </w:r>
    </w:p>
    <w:p w14:paraId="24D9E84B">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 xml:space="preserve">饲养场严禁从疫区购买犊牛，购买前必须查验《动物检疫合格证明》，并隔离观察至少45天，合格后方可混群。 </w:t>
      </w:r>
    </w:p>
    <w:p w14:paraId="417ABCBC">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8.2.4</w:t>
      </w:r>
      <w:r>
        <w:rPr>
          <w:rFonts w:ascii="Times New Roman" w:hAnsi="Times New Roman" w:eastAsia="宋体" w:cs="Times New Roman"/>
          <w:b/>
          <w:bCs/>
          <w:sz w:val="24"/>
        </w:rPr>
        <w:t>　</w:t>
      </w:r>
      <w:r>
        <w:rPr>
          <w:rFonts w:ascii="Times New Roman" w:hAnsi="Times New Roman" w:eastAsia="宋体" w:cs="Times New Roman"/>
          <w:kern w:val="0"/>
          <w:sz w:val="24"/>
        </w:rPr>
        <w:t>防治工作</w:t>
      </w:r>
    </w:p>
    <w:p w14:paraId="743DB22C">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兽医人员做好牛的疾病防治工作，每天巡视牛群，及时掌握附近50km范围内的牛群健康状况。对疾病做到早发现、早诊断、早治疗，确保牛群健康。</w:t>
      </w:r>
    </w:p>
    <w:p w14:paraId="55B81273">
      <w:pPr>
        <w:autoSpaceDE w:val="0"/>
        <w:autoSpaceDN w:val="0"/>
        <w:adjustRightInd w:val="0"/>
        <w:ind w:firstLine="420"/>
        <w:jc w:val="left"/>
        <w:rPr>
          <w:rFonts w:ascii="Times New Roman" w:hAnsi="Times New Roman" w:eastAsia="宋体" w:cs="Times New Roman"/>
          <w:kern w:val="0"/>
          <w:sz w:val="24"/>
        </w:rPr>
      </w:pPr>
      <w:r>
        <w:rPr>
          <w:rFonts w:ascii="Times New Roman" w:hAnsi="Times New Roman" w:eastAsia="宋体" w:cs="Times New Roman"/>
          <w:kern w:val="0"/>
          <w:sz w:val="24"/>
        </w:rPr>
        <w:t>8.2.5</w:t>
      </w:r>
      <w:r>
        <w:rPr>
          <w:rFonts w:ascii="Times New Roman" w:hAnsi="Times New Roman" w:eastAsia="宋体" w:cs="Times New Roman"/>
          <w:b/>
          <w:bCs/>
          <w:sz w:val="24"/>
        </w:rPr>
        <w:t>　</w:t>
      </w:r>
      <w:r>
        <w:rPr>
          <w:rFonts w:ascii="Times New Roman" w:hAnsi="Times New Roman" w:eastAsia="宋体" w:cs="Times New Roman"/>
          <w:kern w:val="0"/>
          <w:sz w:val="24"/>
        </w:rPr>
        <w:t>出场管理</w:t>
      </w:r>
    </w:p>
    <w:p w14:paraId="23D31FD6">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所有出场的牛只检疫项目合格，并且布病检测阴性后方可出具《动物检疫合格证明》。</w:t>
      </w:r>
    </w:p>
    <w:p w14:paraId="6A2A083C">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8.3　驱虫灭蝇</w:t>
      </w:r>
    </w:p>
    <w:p w14:paraId="3D3CA1FB">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春秋两季各进行一次驱虫，做好灭蚊蝇、灭鼠工作。</w:t>
      </w:r>
    </w:p>
    <w:p w14:paraId="1660896F">
      <w:pPr>
        <w:pStyle w:val="6"/>
        <w:spacing w:after="0" w:line="360" w:lineRule="auto"/>
        <w:ind w:firstLine="514" w:firstLineChars="200"/>
        <w:rPr>
          <w:rFonts w:ascii="Times New Roman" w:hAnsi="Times New Roman" w:eastAsia="宋体" w:cs="Times New Roman"/>
          <w:b/>
          <w:bCs/>
          <w:spacing w:val="8"/>
          <w:sz w:val="24"/>
        </w:rPr>
      </w:pPr>
      <w:r>
        <w:rPr>
          <w:rFonts w:ascii="Times New Roman" w:hAnsi="Times New Roman" w:eastAsia="宋体" w:cs="Times New Roman"/>
          <w:b/>
          <w:bCs/>
          <w:spacing w:val="8"/>
          <w:sz w:val="24"/>
        </w:rPr>
        <w:t>制定依据：</w:t>
      </w:r>
    </w:p>
    <w:p w14:paraId="4CF70899">
      <w:pPr>
        <w:pStyle w:val="6"/>
        <w:spacing w:after="0"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参考了《中华人民共和国动物防疫法》等国家相关法律法规及肉牛防疫标准《NY 5126 无公害食品 肉牛饲养兽医防疫准则》，并结合通辽肉牛养殖管理的实际情况制定本条款。</w:t>
      </w:r>
    </w:p>
    <w:p w14:paraId="5A1EE7E2">
      <w:pPr>
        <w:widowControl/>
        <w:spacing w:line="360" w:lineRule="auto"/>
        <w:ind w:firstLine="518" w:firstLineChars="200"/>
        <w:rPr>
          <w:rFonts w:ascii="Times New Roman" w:hAnsi="Times New Roman" w:eastAsia="宋体" w:cs="Times New Roman"/>
          <w:b/>
          <w:bCs/>
          <w:spacing w:val="9"/>
          <w:sz w:val="24"/>
        </w:rPr>
      </w:pPr>
      <w:r>
        <w:rPr>
          <w:rFonts w:ascii="Times New Roman" w:hAnsi="Times New Roman" w:eastAsia="宋体" w:cs="Times New Roman"/>
          <w:b/>
          <w:bCs/>
          <w:spacing w:val="9"/>
          <w:sz w:val="24"/>
        </w:rPr>
        <w:t>9</w:t>
      </w:r>
      <w:r>
        <w:rPr>
          <w:rFonts w:ascii="Times New Roman" w:hAnsi="Times New Roman" w:eastAsia="宋体" w:cs="Times New Roman"/>
          <w:b/>
          <w:bCs/>
          <w:sz w:val="24"/>
        </w:rPr>
        <w:t>　</w:t>
      </w:r>
      <w:r>
        <w:rPr>
          <w:rFonts w:ascii="Times New Roman" w:hAnsi="Times New Roman" w:eastAsia="宋体" w:cs="Times New Roman"/>
          <w:b/>
          <w:bCs/>
          <w:spacing w:val="9"/>
          <w:sz w:val="24"/>
        </w:rPr>
        <w:t>废弃物无害化处理</w:t>
      </w:r>
    </w:p>
    <w:p w14:paraId="043B145F">
      <w:pPr>
        <w:widowControl/>
        <w:spacing w:line="360" w:lineRule="auto"/>
        <w:ind w:firstLine="518" w:firstLineChars="200"/>
        <w:rPr>
          <w:rFonts w:ascii="Times New Roman" w:hAnsi="Times New Roman" w:eastAsia="宋体" w:cs="Times New Roman"/>
          <w:b/>
          <w:bCs/>
          <w:spacing w:val="9"/>
          <w:sz w:val="24"/>
        </w:rPr>
      </w:pPr>
      <w:r>
        <w:rPr>
          <w:rFonts w:ascii="Times New Roman" w:hAnsi="Times New Roman" w:eastAsia="宋体" w:cs="Times New Roman"/>
          <w:b/>
          <w:bCs/>
          <w:spacing w:val="9"/>
          <w:sz w:val="24"/>
        </w:rPr>
        <w:t>标准文本</w:t>
      </w:r>
    </w:p>
    <w:p w14:paraId="24A84B78">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 xml:space="preserve">9.1　粪污处理 </w:t>
      </w:r>
    </w:p>
    <w:p w14:paraId="6764018C">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9.1.1</w:t>
      </w:r>
      <w:r>
        <w:rPr>
          <w:rFonts w:ascii="Times New Roman" w:hAnsi="Times New Roman" w:eastAsia="宋体" w:cs="Times New Roman"/>
          <w:b/>
          <w:bCs/>
          <w:sz w:val="24"/>
        </w:rPr>
        <w:t>　</w:t>
      </w:r>
      <w:r>
        <w:rPr>
          <w:rFonts w:ascii="Times New Roman" w:hAnsi="Times New Roman" w:eastAsia="宋体" w:cs="Times New Roman"/>
          <w:kern w:val="0"/>
          <w:sz w:val="24"/>
        </w:rPr>
        <w:t>饲养场污染物排放应符合GB 18596的要求。</w:t>
      </w:r>
    </w:p>
    <w:p w14:paraId="577666AC">
      <w:pPr>
        <w:autoSpaceDE w:val="0"/>
        <w:autoSpaceDN w:val="0"/>
        <w:adjustRightInd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9.1.2</w:t>
      </w:r>
      <w:r>
        <w:rPr>
          <w:rFonts w:ascii="Times New Roman" w:hAnsi="Times New Roman" w:eastAsia="宋体" w:cs="Times New Roman"/>
          <w:b/>
          <w:bCs/>
          <w:sz w:val="24"/>
        </w:rPr>
        <w:t>　</w:t>
      </w:r>
      <w:r>
        <w:rPr>
          <w:rFonts w:ascii="Times New Roman" w:hAnsi="Times New Roman" w:eastAsia="宋体" w:cs="Times New Roman"/>
          <w:kern w:val="0"/>
          <w:sz w:val="24"/>
        </w:rPr>
        <w:t xml:space="preserve">饲养场粪污处理应符合GB/T 36195的规定，可采用堆积发酵、沼气处理等方法进行无害化处理。 </w:t>
      </w:r>
    </w:p>
    <w:p w14:paraId="1A13EEF2">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 xml:space="preserve">9.2　病死牛处理 </w:t>
      </w:r>
    </w:p>
    <w:p w14:paraId="09C287B1">
      <w:pPr>
        <w:widowControl/>
        <w:tabs>
          <w:tab w:val="left" w:pos="2181"/>
        </w:tabs>
        <w:autoSpaceDE w:val="0"/>
        <w:autoSpaceDN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9.2.1</w:t>
      </w:r>
      <w:r>
        <w:rPr>
          <w:rFonts w:ascii="Times New Roman" w:hAnsi="Times New Roman" w:eastAsia="宋体" w:cs="Times New Roman"/>
          <w:b/>
          <w:bCs/>
          <w:sz w:val="24"/>
        </w:rPr>
        <w:t>　</w:t>
      </w:r>
      <w:r>
        <w:rPr>
          <w:rFonts w:ascii="Times New Roman" w:hAnsi="Times New Roman" w:eastAsia="宋体" w:cs="Times New Roman"/>
          <w:kern w:val="0"/>
          <w:sz w:val="24"/>
        </w:rPr>
        <w:t>饲养场不应出售病牛、死牛。</w:t>
      </w:r>
    </w:p>
    <w:p w14:paraId="06DC599C">
      <w:pPr>
        <w:widowControl/>
        <w:tabs>
          <w:tab w:val="left" w:pos="2181"/>
        </w:tabs>
        <w:autoSpaceDE w:val="0"/>
        <w:autoSpaceDN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9.2.2</w:t>
      </w:r>
      <w:r>
        <w:rPr>
          <w:rFonts w:ascii="Times New Roman" w:hAnsi="Times New Roman" w:eastAsia="宋体" w:cs="Times New Roman"/>
          <w:b/>
          <w:bCs/>
          <w:sz w:val="24"/>
        </w:rPr>
        <w:t>　</w:t>
      </w:r>
      <w:r>
        <w:rPr>
          <w:rFonts w:hint="eastAsia" w:ascii="Times New Roman" w:hAnsi="Times New Roman" w:eastAsia="宋体" w:cs="Times New Roman"/>
          <w:kern w:val="0"/>
          <w:sz w:val="24"/>
        </w:rPr>
        <w:t>病、死牛的处理见《病死及病害动物无害化处理技术规范》，及时无害化处理。</w:t>
      </w:r>
    </w:p>
    <w:p w14:paraId="4E667403">
      <w:pPr>
        <w:autoSpaceDE w:val="0"/>
        <w:autoSpaceDN w:val="0"/>
        <w:adjustRightInd w:val="0"/>
        <w:spacing w:line="360" w:lineRule="auto"/>
        <w:ind w:firstLine="480" w:firstLineChars="200"/>
        <w:rPr>
          <w:rFonts w:ascii="Times New Roman" w:hAnsi="Times New Roman" w:eastAsia="黑体" w:cs="Times New Roman"/>
          <w:kern w:val="0"/>
          <w:sz w:val="24"/>
        </w:rPr>
      </w:pPr>
      <w:r>
        <w:rPr>
          <w:rFonts w:ascii="Times New Roman" w:hAnsi="Times New Roman" w:eastAsia="黑体" w:cs="Times New Roman"/>
          <w:kern w:val="0"/>
          <w:sz w:val="24"/>
        </w:rPr>
        <w:t xml:space="preserve">9.3　其它废弃物处理 </w:t>
      </w:r>
    </w:p>
    <w:p w14:paraId="4B7D75B9">
      <w:pPr>
        <w:widowControl/>
        <w:tabs>
          <w:tab w:val="left" w:pos="2181"/>
        </w:tabs>
        <w:autoSpaceDE w:val="0"/>
        <w:autoSpaceDN w:val="0"/>
        <w:spacing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应按有关规定进行无害化处理，不得随意丢弃。</w:t>
      </w:r>
    </w:p>
    <w:p w14:paraId="5F1CA83A">
      <w:pPr>
        <w:pStyle w:val="6"/>
        <w:spacing w:after="0" w:line="360" w:lineRule="auto"/>
        <w:ind w:firstLine="514" w:firstLineChars="200"/>
        <w:rPr>
          <w:rFonts w:ascii="Times New Roman" w:hAnsi="Times New Roman" w:eastAsia="宋体" w:cs="Times New Roman"/>
          <w:b/>
          <w:bCs/>
          <w:spacing w:val="8"/>
          <w:sz w:val="24"/>
        </w:rPr>
      </w:pPr>
      <w:r>
        <w:rPr>
          <w:rFonts w:ascii="Times New Roman" w:hAnsi="Times New Roman" w:eastAsia="宋体" w:cs="Times New Roman"/>
          <w:b/>
          <w:bCs/>
          <w:spacing w:val="8"/>
          <w:sz w:val="24"/>
        </w:rPr>
        <w:t>制定依据：</w:t>
      </w:r>
    </w:p>
    <w:p w14:paraId="6FD8384C">
      <w:pPr>
        <w:pStyle w:val="6"/>
        <w:spacing w:after="0" w:line="360" w:lineRule="auto"/>
        <w:ind w:firstLine="512" w:firstLineChars="200"/>
        <w:rPr>
          <w:rFonts w:ascii="Times New Roman" w:hAnsi="Times New Roman" w:eastAsia="宋体" w:cs="Times New Roman"/>
          <w:spacing w:val="8"/>
          <w:sz w:val="24"/>
          <w:highlight w:val="yellow"/>
        </w:rPr>
      </w:pPr>
      <w:r>
        <w:rPr>
          <w:rFonts w:ascii="Times New Roman" w:hAnsi="Times New Roman" w:eastAsia="宋体" w:cs="Times New Roman"/>
          <w:spacing w:val="8"/>
          <w:sz w:val="24"/>
        </w:rPr>
        <w:t>依据GB/T 36195 《畜禽粪便无害化处理技术规范》和</w:t>
      </w:r>
      <w:r>
        <w:rPr>
          <w:rFonts w:ascii="Times New Roman" w:hAnsi="Times New Roman" w:cs="Times New Roman"/>
        </w:rPr>
        <w:t>《病死及病害动物无害化处理技术规范》</w:t>
      </w:r>
      <w:r>
        <w:rPr>
          <w:rFonts w:ascii="Times New Roman" w:hAnsi="Times New Roman" w:eastAsia="宋体" w:cs="Times New Roman"/>
          <w:spacing w:val="8"/>
          <w:sz w:val="24"/>
        </w:rPr>
        <w:t>，结合通辽地区肉牛养殖的特性进行制定。</w:t>
      </w:r>
    </w:p>
    <w:p w14:paraId="271A23DC">
      <w:pPr>
        <w:widowControl/>
        <w:spacing w:line="360" w:lineRule="auto"/>
        <w:ind w:firstLine="200"/>
        <w:rPr>
          <w:rFonts w:ascii="Times New Roman" w:hAnsi="Times New Roman" w:eastAsia="宋体" w:cs="Times New Roman"/>
          <w:b/>
          <w:bCs/>
          <w:spacing w:val="9"/>
          <w:sz w:val="24"/>
        </w:rPr>
      </w:pPr>
      <w:r>
        <w:rPr>
          <w:rFonts w:ascii="Times New Roman" w:hAnsi="Times New Roman" w:eastAsia="宋体" w:cs="Times New Roman"/>
          <w:b/>
          <w:bCs/>
          <w:spacing w:val="9"/>
          <w:sz w:val="24"/>
        </w:rPr>
        <w:t>10</w:t>
      </w:r>
      <w:r>
        <w:rPr>
          <w:rFonts w:ascii="Times New Roman" w:hAnsi="Times New Roman" w:eastAsia="宋体" w:cs="Times New Roman"/>
          <w:b/>
          <w:bCs/>
          <w:sz w:val="24"/>
        </w:rPr>
        <w:t>　</w:t>
      </w:r>
      <w:r>
        <w:rPr>
          <w:rFonts w:ascii="Times New Roman" w:hAnsi="Times New Roman" w:eastAsia="宋体" w:cs="Times New Roman"/>
          <w:b/>
          <w:bCs/>
          <w:spacing w:val="9"/>
          <w:sz w:val="24"/>
        </w:rPr>
        <w:t>档案管理</w:t>
      </w:r>
    </w:p>
    <w:p w14:paraId="34C466A6">
      <w:pPr>
        <w:widowControl/>
        <w:spacing w:line="360" w:lineRule="auto"/>
        <w:ind w:firstLine="518" w:firstLineChars="200"/>
        <w:rPr>
          <w:rFonts w:ascii="Times New Roman" w:hAnsi="Times New Roman" w:eastAsia="宋体" w:cs="Times New Roman"/>
          <w:b/>
          <w:bCs/>
          <w:spacing w:val="9"/>
          <w:sz w:val="24"/>
        </w:rPr>
      </w:pPr>
      <w:r>
        <w:rPr>
          <w:rFonts w:ascii="Times New Roman" w:hAnsi="Times New Roman" w:eastAsia="宋体" w:cs="Times New Roman"/>
          <w:b/>
          <w:bCs/>
          <w:spacing w:val="9"/>
          <w:sz w:val="24"/>
        </w:rPr>
        <w:t>标准文本</w:t>
      </w:r>
    </w:p>
    <w:p w14:paraId="18BF95A3">
      <w:pPr>
        <w:pStyle w:val="6"/>
        <w:spacing w:after="0" w:line="360" w:lineRule="auto"/>
        <w:ind w:firstLine="480" w:firstLineChars="200"/>
        <w:rPr>
          <w:rFonts w:ascii="Times New Roman" w:hAnsi="Times New Roman" w:eastAsia="宋体" w:cs="Times New Roman"/>
          <w:kern w:val="0"/>
          <w:sz w:val="24"/>
        </w:rPr>
      </w:pPr>
      <w:r>
        <w:rPr>
          <w:rFonts w:ascii="Times New Roman" w:hAnsi="Times New Roman" w:eastAsia="宋体" w:cs="Times New Roman"/>
          <w:kern w:val="0"/>
          <w:sz w:val="24"/>
        </w:rPr>
        <w:t>应及时、准确建立犊牛和各阶段育肥牛的生产记录档案，所有记录应准确、可靠、完整。</w:t>
      </w:r>
    </w:p>
    <w:p w14:paraId="549628D4">
      <w:pPr>
        <w:pStyle w:val="6"/>
        <w:spacing w:after="0" w:line="360" w:lineRule="auto"/>
        <w:ind w:firstLine="514" w:firstLineChars="200"/>
        <w:rPr>
          <w:rFonts w:ascii="Times New Roman" w:hAnsi="Times New Roman" w:eastAsia="宋体" w:cs="Times New Roman"/>
          <w:b/>
          <w:bCs/>
          <w:spacing w:val="8"/>
          <w:sz w:val="24"/>
        </w:rPr>
      </w:pPr>
      <w:r>
        <w:rPr>
          <w:rFonts w:ascii="Times New Roman" w:hAnsi="Times New Roman" w:eastAsia="宋体" w:cs="Times New Roman"/>
          <w:b/>
          <w:bCs/>
          <w:spacing w:val="8"/>
          <w:sz w:val="24"/>
        </w:rPr>
        <w:t>制定依据：</w:t>
      </w:r>
    </w:p>
    <w:p w14:paraId="7CD89747">
      <w:pPr>
        <w:pStyle w:val="6"/>
        <w:spacing w:after="0" w:line="360" w:lineRule="auto"/>
        <w:ind w:firstLine="480" w:firstLineChars="200"/>
        <w:rPr>
          <w:rFonts w:ascii="Times New Roman" w:hAnsi="Times New Roman" w:cs="Times New Roman"/>
          <w:sz w:val="24"/>
        </w:rPr>
      </w:pPr>
      <w:r>
        <w:rPr>
          <w:rFonts w:ascii="Times New Roman" w:hAnsi="Times New Roman" w:cs="Times New Roman"/>
          <w:sz w:val="24"/>
        </w:rPr>
        <w:t>依据《畜禽标识和养殖档案管理办法》对养殖场档案管理的要求进行制定。</w:t>
      </w:r>
    </w:p>
    <w:p w14:paraId="53B263E4">
      <w:pPr>
        <w:pStyle w:val="3"/>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b w:val="0"/>
          <w:bCs/>
          <w:szCs w:val="44"/>
          <w:lang w:bidi="ar-SA"/>
        </w:rPr>
        <w:t>三、主要试验或验证的分析、综述报告，技术经济论证，预期的经济效果</w:t>
      </w:r>
    </w:p>
    <w:p w14:paraId="74459DC4">
      <w:pPr>
        <w:pStyle w:val="6"/>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本标准发布后，将有助于推动通辽肉牛养殖场或养殖企业实现标准化管理，对提升通辽肉牛的肉品质、降低对环境的负面影响具有重要意义。同时还可促进通辽地区肉牛养殖企业向规范化、现代化方向发展，增强通辽肉牛在国内和国际市场上的竞争力，推动通辽地区肉牛产业的可持续发展。</w:t>
      </w:r>
    </w:p>
    <w:p w14:paraId="7DAEF645">
      <w:pPr>
        <w:pStyle w:val="3"/>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b w:val="0"/>
          <w:bCs/>
          <w:szCs w:val="44"/>
          <w:lang w:bidi="ar-SA"/>
        </w:rPr>
        <w:t>四、采用国际标准和国外先进标准的程度</w:t>
      </w:r>
    </w:p>
    <w:p w14:paraId="3C2AAA1B">
      <w:pPr>
        <w:pStyle w:val="6"/>
        <w:spacing w:after="0"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本文件未采用国际标准。</w:t>
      </w:r>
    </w:p>
    <w:p w14:paraId="4BCC9D28">
      <w:pPr>
        <w:pStyle w:val="6"/>
        <w:widowControl/>
        <w:tabs>
          <w:tab w:val="left" w:pos="442"/>
        </w:tabs>
        <w:kinsoku w:val="0"/>
        <w:overflowPunct w:val="0"/>
        <w:autoSpaceDE w:val="0"/>
        <w:autoSpaceDN w:val="0"/>
        <w:adjustRightInd w:val="0"/>
        <w:snapToGrid w:val="0"/>
        <w:spacing w:after="0" w:line="360" w:lineRule="auto"/>
        <w:textAlignment w:val="baseline"/>
        <w:outlineLvl w:val="0"/>
        <w:rPr>
          <w:rFonts w:ascii="Times New Roman" w:hAnsi="Times New Roman" w:eastAsia="黑体" w:cs="Times New Roman"/>
          <w:bCs/>
          <w:kern w:val="44"/>
          <w:sz w:val="28"/>
          <w:szCs w:val="44"/>
        </w:rPr>
      </w:pPr>
      <w:r>
        <w:rPr>
          <w:rFonts w:ascii="Times New Roman" w:hAnsi="Times New Roman" w:eastAsia="黑体" w:cs="Times New Roman"/>
          <w:bCs/>
          <w:kern w:val="44"/>
          <w:sz w:val="28"/>
          <w:szCs w:val="44"/>
        </w:rPr>
        <w:t>五、与现行的法律法规和强制性国家标准的关系</w:t>
      </w:r>
    </w:p>
    <w:p w14:paraId="6DD28AC9">
      <w:pPr>
        <w:pStyle w:val="6"/>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本文件在现行法律法规的框架内起草，引用或参照相关法律法规的有关规定，与现行法律法规和强制性国家标准保持协调一致，没有矛盾或冲突。该标准的制定按照GB/T 1.1-2009《标准化工作导则第一部分：标准的结构和编写》要求编写，符合现行法律、法规和国家标准的要求。</w:t>
      </w:r>
    </w:p>
    <w:p w14:paraId="03B5EF16">
      <w:pPr>
        <w:pStyle w:val="6"/>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该标准将涉及到的GB 13078 《饲料卫生标准》、GB 18596 《畜禽场污染物排放标准》、GB/T 36195 《畜禽粪便无害化处理技术规范》、GB 5749 《生活饮用水卫生标准》作为引用标准，可以科学有效地指导通辽肉牛的养殖，对带动通辽地区相关产业的发展具有深远的意义。</w:t>
      </w:r>
    </w:p>
    <w:p w14:paraId="75A1D384">
      <w:pPr>
        <w:pStyle w:val="6"/>
        <w:widowControl/>
        <w:tabs>
          <w:tab w:val="left" w:pos="442"/>
        </w:tabs>
        <w:kinsoku w:val="0"/>
        <w:overflowPunct w:val="0"/>
        <w:autoSpaceDE w:val="0"/>
        <w:autoSpaceDN w:val="0"/>
        <w:adjustRightInd w:val="0"/>
        <w:snapToGrid w:val="0"/>
        <w:spacing w:after="0" w:line="360" w:lineRule="auto"/>
        <w:textAlignment w:val="baseline"/>
        <w:outlineLvl w:val="0"/>
        <w:rPr>
          <w:rFonts w:ascii="Times New Roman" w:hAnsi="Times New Roman" w:eastAsia="黑体" w:cs="Times New Roman"/>
          <w:bCs/>
          <w:kern w:val="44"/>
          <w:sz w:val="28"/>
          <w:szCs w:val="44"/>
        </w:rPr>
      </w:pPr>
      <w:r>
        <w:rPr>
          <w:rFonts w:ascii="Times New Roman" w:hAnsi="Times New Roman" w:eastAsia="黑体" w:cs="Times New Roman"/>
          <w:bCs/>
          <w:kern w:val="44"/>
          <w:sz w:val="28"/>
          <w:szCs w:val="44"/>
        </w:rPr>
        <w:t xml:space="preserve">六、重大分歧意见的处理经过和依据 </w:t>
      </w:r>
    </w:p>
    <w:p w14:paraId="4A3D8BB5">
      <w:pPr>
        <w:pStyle w:val="6"/>
        <w:spacing w:after="0"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无。</w:t>
      </w:r>
    </w:p>
    <w:p w14:paraId="11A72F91">
      <w:pPr>
        <w:pStyle w:val="6"/>
        <w:widowControl/>
        <w:numPr>
          <w:ilvl w:val="0"/>
          <w:numId w:val="2"/>
        </w:numPr>
        <w:tabs>
          <w:tab w:val="left" w:pos="442"/>
        </w:tabs>
        <w:kinsoku w:val="0"/>
        <w:overflowPunct w:val="0"/>
        <w:autoSpaceDE w:val="0"/>
        <w:autoSpaceDN w:val="0"/>
        <w:adjustRightInd w:val="0"/>
        <w:snapToGrid w:val="0"/>
        <w:spacing w:after="0" w:line="360" w:lineRule="auto"/>
        <w:textAlignment w:val="baseline"/>
        <w:outlineLvl w:val="0"/>
        <w:rPr>
          <w:rFonts w:ascii="Times New Roman" w:hAnsi="Times New Roman" w:eastAsia="黑体" w:cs="Times New Roman"/>
          <w:bCs/>
          <w:kern w:val="44"/>
          <w:sz w:val="28"/>
          <w:szCs w:val="44"/>
        </w:rPr>
      </w:pPr>
      <w:r>
        <w:rPr>
          <w:rFonts w:ascii="Times New Roman" w:hAnsi="Times New Roman" w:eastAsia="黑体" w:cs="Times New Roman"/>
          <w:bCs/>
          <w:kern w:val="44"/>
          <w:sz w:val="28"/>
          <w:szCs w:val="44"/>
        </w:rPr>
        <w:t xml:space="preserve">标准作为强制性或推荐性标准的建议 </w:t>
      </w:r>
    </w:p>
    <w:p w14:paraId="5AFDC7E7">
      <w:pPr>
        <w:pStyle w:val="6"/>
        <w:spacing w:after="0"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建议本标准作为团体标准发布实施。</w:t>
      </w:r>
    </w:p>
    <w:p w14:paraId="6CEB31D5">
      <w:pPr>
        <w:pStyle w:val="6"/>
        <w:widowControl/>
        <w:numPr>
          <w:ilvl w:val="0"/>
          <w:numId w:val="2"/>
        </w:numPr>
        <w:tabs>
          <w:tab w:val="left" w:pos="442"/>
        </w:tabs>
        <w:kinsoku w:val="0"/>
        <w:overflowPunct w:val="0"/>
        <w:autoSpaceDE w:val="0"/>
        <w:autoSpaceDN w:val="0"/>
        <w:adjustRightInd w:val="0"/>
        <w:snapToGrid w:val="0"/>
        <w:spacing w:after="0" w:line="360" w:lineRule="auto"/>
        <w:textAlignment w:val="baseline"/>
        <w:outlineLvl w:val="0"/>
        <w:rPr>
          <w:rFonts w:ascii="Times New Roman" w:hAnsi="Times New Roman" w:eastAsia="黑体" w:cs="Times New Roman"/>
          <w:bCs/>
          <w:kern w:val="44"/>
          <w:sz w:val="28"/>
          <w:szCs w:val="44"/>
        </w:rPr>
      </w:pPr>
      <w:r>
        <w:rPr>
          <w:rFonts w:ascii="Times New Roman" w:hAnsi="Times New Roman" w:eastAsia="黑体" w:cs="Times New Roman"/>
          <w:bCs/>
          <w:kern w:val="44"/>
          <w:sz w:val="28"/>
          <w:szCs w:val="44"/>
        </w:rPr>
        <w:t>贯彻标准的要求和措施建议</w:t>
      </w:r>
    </w:p>
    <w:p w14:paraId="4AFBE5A0">
      <w:pPr>
        <w:pStyle w:val="6"/>
        <w:spacing w:after="0"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1. 本标准发布实施后，建议相关行政主管部门下发贯彻实施本标准的通知文件，督促通辽肉牛养殖企业首先落实。</w:t>
      </w:r>
    </w:p>
    <w:p w14:paraId="6AC3A5D1">
      <w:pPr>
        <w:pStyle w:val="6"/>
        <w:spacing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2.</w:t>
      </w:r>
      <w:r>
        <w:rPr>
          <w:rFonts w:ascii="Times New Roman" w:hAnsi="Times New Roman" w:cs="Times New Roman"/>
        </w:rPr>
        <w:t xml:space="preserve"> </w:t>
      </w:r>
      <w:r>
        <w:rPr>
          <w:rFonts w:ascii="Times New Roman" w:hAnsi="Times New Roman" w:eastAsia="宋体" w:cs="Times New Roman"/>
          <w:sz w:val="24"/>
        </w:rPr>
        <w:t>贯彻标准过程中，有关部门可选派专业技术人员深入企业宣贯、指导标准实施工作，还可组织编写《通辽肉牛饲养管理技术规范》标准宣贯教材，详细解读标准内容。</w:t>
      </w:r>
    </w:p>
    <w:p w14:paraId="0D2C5B00">
      <w:pPr>
        <w:pStyle w:val="6"/>
        <w:spacing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3.</w:t>
      </w:r>
      <w:r>
        <w:rPr>
          <w:rFonts w:ascii="Times New Roman" w:hAnsi="Times New Roman" w:cs="Times New Roman"/>
        </w:rPr>
        <w:t xml:space="preserve"> </w:t>
      </w:r>
      <w:r>
        <w:rPr>
          <w:rFonts w:ascii="Times New Roman" w:hAnsi="Times New Roman" w:eastAsia="宋体" w:cs="Times New Roman"/>
          <w:sz w:val="24"/>
        </w:rPr>
        <w:t>为加快标准贯彻实施速度，建议标准发布后尽快在网上公布，便于企业下载学习。</w:t>
      </w:r>
    </w:p>
    <w:p w14:paraId="15E396CB">
      <w:pPr>
        <w:pStyle w:val="6"/>
        <w:widowControl/>
        <w:numPr>
          <w:ilvl w:val="0"/>
          <w:numId w:val="2"/>
        </w:numPr>
        <w:tabs>
          <w:tab w:val="left" w:pos="442"/>
        </w:tabs>
        <w:kinsoku w:val="0"/>
        <w:overflowPunct w:val="0"/>
        <w:autoSpaceDE w:val="0"/>
        <w:autoSpaceDN w:val="0"/>
        <w:adjustRightInd w:val="0"/>
        <w:snapToGrid w:val="0"/>
        <w:spacing w:after="0" w:line="360" w:lineRule="auto"/>
        <w:textAlignment w:val="baseline"/>
        <w:outlineLvl w:val="0"/>
        <w:rPr>
          <w:rFonts w:ascii="Times New Roman" w:hAnsi="Times New Roman" w:eastAsia="黑体" w:cs="Times New Roman"/>
          <w:bCs/>
          <w:kern w:val="44"/>
          <w:sz w:val="28"/>
          <w:szCs w:val="44"/>
        </w:rPr>
      </w:pPr>
      <w:r>
        <w:rPr>
          <w:rFonts w:ascii="Times New Roman" w:hAnsi="Times New Roman" w:eastAsia="黑体" w:cs="Times New Roman"/>
          <w:bCs/>
          <w:kern w:val="44"/>
          <w:sz w:val="28"/>
          <w:szCs w:val="44"/>
        </w:rPr>
        <w:t>废止现行有关标准的建议</w:t>
      </w:r>
    </w:p>
    <w:p w14:paraId="571C9820">
      <w:pPr>
        <w:pStyle w:val="6"/>
        <w:spacing w:after="0"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无。</w:t>
      </w:r>
    </w:p>
    <w:p w14:paraId="7F04EE2B">
      <w:pPr>
        <w:pStyle w:val="6"/>
        <w:widowControl/>
        <w:numPr>
          <w:ilvl w:val="0"/>
          <w:numId w:val="2"/>
        </w:numPr>
        <w:tabs>
          <w:tab w:val="left" w:pos="442"/>
        </w:tabs>
        <w:kinsoku w:val="0"/>
        <w:overflowPunct w:val="0"/>
        <w:autoSpaceDE w:val="0"/>
        <w:autoSpaceDN w:val="0"/>
        <w:adjustRightInd w:val="0"/>
        <w:snapToGrid w:val="0"/>
        <w:spacing w:after="0" w:line="360" w:lineRule="auto"/>
        <w:textAlignment w:val="baseline"/>
        <w:outlineLvl w:val="0"/>
        <w:rPr>
          <w:rFonts w:ascii="Times New Roman" w:hAnsi="Times New Roman" w:eastAsia="黑体" w:cs="Times New Roman"/>
          <w:bCs/>
          <w:kern w:val="44"/>
          <w:sz w:val="28"/>
          <w:szCs w:val="44"/>
        </w:rPr>
      </w:pPr>
      <w:r>
        <w:rPr>
          <w:rFonts w:ascii="Times New Roman" w:hAnsi="Times New Roman" w:eastAsia="黑体" w:cs="Times New Roman"/>
          <w:bCs/>
          <w:kern w:val="44"/>
          <w:sz w:val="28"/>
          <w:szCs w:val="44"/>
        </w:rPr>
        <w:t>十、其他应予说明的事项</w:t>
      </w:r>
    </w:p>
    <w:p w14:paraId="7B31F30F">
      <w:pPr>
        <w:pStyle w:val="6"/>
        <w:spacing w:after="0"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无。</w:t>
      </w:r>
    </w:p>
    <w:p w14:paraId="46468800">
      <w:pPr>
        <w:wordWrap w:val="0"/>
        <w:spacing w:line="500" w:lineRule="exact"/>
        <w:ind w:firstLine="482"/>
        <w:jc w:val="right"/>
        <w:rPr>
          <w:rFonts w:ascii="Times New Roman" w:hAnsi="Times New Roman" w:cs="Times New Roman"/>
          <w:bCs/>
          <w:sz w:val="24"/>
        </w:rPr>
      </w:pPr>
      <w:r>
        <w:rPr>
          <w:rFonts w:ascii="Times New Roman" w:hAnsi="Times New Roman" w:cs="Times New Roman"/>
          <w:b/>
          <w:bCs/>
          <w:sz w:val="24"/>
        </w:rPr>
        <w:t xml:space="preserve"> </w:t>
      </w:r>
      <w:r>
        <w:rPr>
          <w:rFonts w:ascii="Times New Roman" w:hAnsi="Times New Roman" w:cs="Times New Roman"/>
          <w:bCs/>
          <w:sz w:val="24"/>
        </w:rPr>
        <w:t xml:space="preserve">标准编制组 </w:t>
      </w:r>
    </w:p>
    <w:p w14:paraId="1ADC4417">
      <w:pPr>
        <w:wordWrap w:val="0"/>
        <w:spacing w:line="500" w:lineRule="exact"/>
        <w:ind w:firstLine="480"/>
        <w:jc w:val="right"/>
        <w:rPr>
          <w:rFonts w:ascii="Times New Roman" w:hAnsi="Times New Roman" w:cs="Times New Roman"/>
          <w:sz w:val="24"/>
        </w:rPr>
      </w:pPr>
      <w:r>
        <w:rPr>
          <w:rFonts w:ascii="Times New Roman" w:hAnsi="Times New Roman" w:cs="Times New Roman"/>
          <w:bCs/>
          <w:sz w:val="24"/>
        </w:rPr>
        <w:t xml:space="preserve">                                                      2025年5月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77D86">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0D226D">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00D226D">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C34E26"/>
    <w:multiLevelType w:val="multilevel"/>
    <w:tmpl w:val="52C34E26"/>
    <w:lvl w:ilvl="0" w:tentative="0">
      <w:start w:val="7"/>
      <w:numFmt w:val="japaneseCounting"/>
      <w:lvlText w:val="%1、"/>
      <w:lvlJc w:val="left"/>
      <w:pPr>
        <w:ind w:left="570" w:hanging="57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1"/>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0NmY2ZTM2ZDI3ODk4OWZhYmU5MjY5MzMyNDYxYjMifQ=="/>
  </w:docVars>
  <w:rsids>
    <w:rsidRoot w:val="7DB76654"/>
    <w:rsid w:val="00002ACA"/>
    <w:rsid w:val="0001667A"/>
    <w:rsid w:val="00024A29"/>
    <w:rsid w:val="00035846"/>
    <w:rsid w:val="00042860"/>
    <w:rsid w:val="000625BE"/>
    <w:rsid w:val="00065710"/>
    <w:rsid w:val="00066803"/>
    <w:rsid w:val="000723A3"/>
    <w:rsid w:val="00082DB4"/>
    <w:rsid w:val="00093287"/>
    <w:rsid w:val="000A529F"/>
    <w:rsid w:val="000B00E1"/>
    <w:rsid w:val="000C27BA"/>
    <w:rsid w:val="000D65E0"/>
    <w:rsid w:val="000F28A1"/>
    <w:rsid w:val="000F530E"/>
    <w:rsid w:val="001029AB"/>
    <w:rsid w:val="001039AB"/>
    <w:rsid w:val="00125202"/>
    <w:rsid w:val="00135273"/>
    <w:rsid w:val="00141103"/>
    <w:rsid w:val="00146453"/>
    <w:rsid w:val="00152E76"/>
    <w:rsid w:val="00154C67"/>
    <w:rsid w:val="001A0B2B"/>
    <w:rsid w:val="001B07EA"/>
    <w:rsid w:val="001E69AB"/>
    <w:rsid w:val="002442C4"/>
    <w:rsid w:val="00276319"/>
    <w:rsid w:val="002859A2"/>
    <w:rsid w:val="00296E63"/>
    <w:rsid w:val="002C2BDE"/>
    <w:rsid w:val="002D3778"/>
    <w:rsid w:val="003508EA"/>
    <w:rsid w:val="00351117"/>
    <w:rsid w:val="00354A95"/>
    <w:rsid w:val="00364D30"/>
    <w:rsid w:val="00367AB8"/>
    <w:rsid w:val="0037032C"/>
    <w:rsid w:val="003921A7"/>
    <w:rsid w:val="003F41AF"/>
    <w:rsid w:val="00402E03"/>
    <w:rsid w:val="0041342A"/>
    <w:rsid w:val="00413A28"/>
    <w:rsid w:val="00433F3A"/>
    <w:rsid w:val="00461137"/>
    <w:rsid w:val="004779E1"/>
    <w:rsid w:val="00495ACC"/>
    <w:rsid w:val="004A0936"/>
    <w:rsid w:val="004A4F2E"/>
    <w:rsid w:val="004D33A6"/>
    <w:rsid w:val="004D6AC1"/>
    <w:rsid w:val="004E11EE"/>
    <w:rsid w:val="00514BBE"/>
    <w:rsid w:val="00523472"/>
    <w:rsid w:val="00532A19"/>
    <w:rsid w:val="00536CE3"/>
    <w:rsid w:val="00544415"/>
    <w:rsid w:val="005456B6"/>
    <w:rsid w:val="00553CDC"/>
    <w:rsid w:val="00577D5E"/>
    <w:rsid w:val="0058523E"/>
    <w:rsid w:val="005F78E3"/>
    <w:rsid w:val="006114E2"/>
    <w:rsid w:val="0061487F"/>
    <w:rsid w:val="006B71F9"/>
    <w:rsid w:val="006E2E52"/>
    <w:rsid w:val="006E6137"/>
    <w:rsid w:val="0070408F"/>
    <w:rsid w:val="00704268"/>
    <w:rsid w:val="00731822"/>
    <w:rsid w:val="00733BEB"/>
    <w:rsid w:val="00736BED"/>
    <w:rsid w:val="00765C7C"/>
    <w:rsid w:val="00767A07"/>
    <w:rsid w:val="007916C3"/>
    <w:rsid w:val="007A2BA2"/>
    <w:rsid w:val="007A310A"/>
    <w:rsid w:val="007B3E7C"/>
    <w:rsid w:val="007C0697"/>
    <w:rsid w:val="007C2EE2"/>
    <w:rsid w:val="007D15CE"/>
    <w:rsid w:val="007D6474"/>
    <w:rsid w:val="007E7812"/>
    <w:rsid w:val="008325F3"/>
    <w:rsid w:val="008373FC"/>
    <w:rsid w:val="00837A08"/>
    <w:rsid w:val="008712DD"/>
    <w:rsid w:val="008871BA"/>
    <w:rsid w:val="008A352D"/>
    <w:rsid w:val="008C4489"/>
    <w:rsid w:val="00921CD6"/>
    <w:rsid w:val="0092559B"/>
    <w:rsid w:val="009266DD"/>
    <w:rsid w:val="0094091E"/>
    <w:rsid w:val="0094562D"/>
    <w:rsid w:val="00967079"/>
    <w:rsid w:val="0097781C"/>
    <w:rsid w:val="009A2CC4"/>
    <w:rsid w:val="009B0E96"/>
    <w:rsid w:val="009C2032"/>
    <w:rsid w:val="009F4BB0"/>
    <w:rsid w:val="00A00C8C"/>
    <w:rsid w:val="00A104E9"/>
    <w:rsid w:val="00A201FD"/>
    <w:rsid w:val="00A364F3"/>
    <w:rsid w:val="00A54A17"/>
    <w:rsid w:val="00A61F8C"/>
    <w:rsid w:val="00A70A7E"/>
    <w:rsid w:val="00A94F54"/>
    <w:rsid w:val="00A97F75"/>
    <w:rsid w:val="00AA4B42"/>
    <w:rsid w:val="00AA4F21"/>
    <w:rsid w:val="00AA5786"/>
    <w:rsid w:val="00AA6054"/>
    <w:rsid w:val="00AA6E83"/>
    <w:rsid w:val="00AB1315"/>
    <w:rsid w:val="00AB3F88"/>
    <w:rsid w:val="00AD1B01"/>
    <w:rsid w:val="00AF6275"/>
    <w:rsid w:val="00B15C5B"/>
    <w:rsid w:val="00B23F74"/>
    <w:rsid w:val="00B44497"/>
    <w:rsid w:val="00B86838"/>
    <w:rsid w:val="00B91F9E"/>
    <w:rsid w:val="00B955E4"/>
    <w:rsid w:val="00BB7681"/>
    <w:rsid w:val="00BC6F8C"/>
    <w:rsid w:val="00BE128F"/>
    <w:rsid w:val="00BF379E"/>
    <w:rsid w:val="00BF624C"/>
    <w:rsid w:val="00C0093B"/>
    <w:rsid w:val="00C034E8"/>
    <w:rsid w:val="00C05B89"/>
    <w:rsid w:val="00C15B5A"/>
    <w:rsid w:val="00C34B44"/>
    <w:rsid w:val="00C430FC"/>
    <w:rsid w:val="00C452F3"/>
    <w:rsid w:val="00C56774"/>
    <w:rsid w:val="00CC271F"/>
    <w:rsid w:val="00CD652E"/>
    <w:rsid w:val="00D0477B"/>
    <w:rsid w:val="00D200F9"/>
    <w:rsid w:val="00D51B76"/>
    <w:rsid w:val="00D54CDE"/>
    <w:rsid w:val="00D620DA"/>
    <w:rsid w:val="00D77FD3"/>
    <w:rsid w:val="00D92E61"/>
    <w:rsid w:val="00DA4BEB"/>
    <w:rsid w:val="00DC13EF"/>
    <w:rsid w:val="00E14219"/>
    <w:rsid w:val="00E21B20"/>
    <w:rsid w:val="00E33998"/>
    <w:rsid w:val="00E71C43"/>
    <w:rsid w:val="00E96D82"/>
    <w:rsid w:val="00EE4F81"/>
    <w:rsid w:val="00F20D21"/>
    <w:rsid w:val="00F7157C"/>
    <w:rsid w:val="00F94C6D"/>
    <w:rsid w:val="00FD28C8"/>
    <w:rsid w:val="01F80A87"/>
    <w:rsid w:val="025C7268"/>
    <w:rsid w:val="03435D32"/>
    <w:rsid w:val="03630182"/>
    <w:rsid w:val="03D12BD0"/>
    <w:rsid w:val="04806B11"/>
    <w:rsid w:val="04C410F4"/>
    <w:rsid w:val="06986394"/>
    <w:rsid w:val="07133F23"/>
    <w:rsid w:val="0731167A"/>
    <w:rsid w:val="07852DBD"/>
    <w:rsid w:val="07E35DEC"/>
    <w:rsid w:val="082B01BE"/>
    <w:rsid w:val="083C6B36"/>
    <w:rsid w:val="08BB45BC"/>
    <w:rsid w:val="0ABB3E3F"/>
    <w:rsid w:val="0B655FB4"/>
    <w:rsid w:val="0BCF6B5B"/>
    <w:rsid w:val="0E72571D"/>
    <w:rsid w:val="0F44530B"/>
    <w:rsid w:val="0F4E113C"/>
    <w:rsid w:val="0FAB6A21"/>
    <w:rsid w:val="0FFC3E38"/>
    <w:rsid w:val="10545A22"/>
    <w:rsid w:val="116F23E8"/>
    <w:rsid w:val="11902A8A"/>
    <w:rsid w:val="12045226"/>
    <w:rsid w:val="13C45A4C"/>
    <w:rsid w:val="146F7FF5"/>
    <w:rsid w:val="147072F3"/>
    <w:rsid w:val="14E82BDD"/>
    <w:rsid w:val="151439D2"/>
    <w:rsid w:val="152359C3"/>
    <w:rsid w:val="15654D91"/>
    <w:rsid w:val="157F1C29"/>
    <w:rsid w:val="158741A4"/>
    <w:rsid w:val="15A8039B"/>
    <w:rsid w:val="15D46CBD"/>
    <w:rsid w:val="166F711D"/>
    <w:rsid w:val="16930995"/>
    <w:rsid w:val="16D84472"/>
    <w:rsid w:val="17544559"/>
    <w:rsid w:val="1763479D"/>
    <w:rsid w:val="17A9198A"/>
    <w:rsid w:val="17BB1EE3"/>
    <w:rsid w:val="180606C5"/>
    <w:rsid w:val="18D94D16"/>
    <w:rsid w:val="19C44422"/>
    <w:rsid w:val="1BB50563"/>
    <w:rsid w:val="1BC111D7"/>
    <w:rsid w:val="1F260691"/>
    <w:rsid w:val="2020147D"/>
    <w:rsid w:val="20D86F49"/>
    <w:rsid w:val="216A6083"/>
    <w:rsid w:val="22146DBF"/>
    <w:rsid w:val="222F59A7"/>
    <w:rsid w:val="23571659"/>
    <w:rsid w:val="23D55BE6"/>
    <w:rsid w:val="24377932"/>
    <w:rsid w:val="249E0BC2"/>
    <w:rsid w:val="24B228BF"/>
    <w:rsid w:val="24C3687B"/>
    <w:rsid w:val="257D4C7B"/>
    <w:rsid w:val="25965263"/>
    <w:rsid w:val="259C1936"/>
    <w:rsid w:val="265951C3"/>
    <w:rsid w:val="273870AC"/>
    <w:rsid w:val="274F4378"/>
    <w:rsid w:val="276C144B"/>
    <w:rsid w:val="283F090E"/>
    <w:rsid w:val="28594DB8"/>
    <w:rsid w:val="28966A91"/>
    <w:rsid w:val="289C18BC"/>
    <w:rsid w:val="29C56BF1"/>
    <w:rsid w:val="29E13016"/>
    <w:rsid w:val="2AB9263D"/>
    <w:rsid w:val="2DF950BB"/>
    <w:rsid w:val="306E7FE2"/>
    <w:rsid w:val="308C66BA"/>
    <w:rsid w:val="30CC4D09"/>
    <w:rsid w:val="31230DCD"/>
    <w:rsid w:val="31B41A25"/>
    <w:rsid w:val="33857B1D"/>
    <w:rsid w:val="347A7513"/>
    <w:rsid w:val="355210DD"/>
    <w:rsid w:val="369D7429"/>
    <w:rsid w:val="37F05781"/>
    <w:rsid w:val="38237904"/>
    <w:rsid w:val="39FC040D"/>
    <w:rsid w:val="3A260C4E"/>
    <w:rsid w:val="3A2B79DF"/>
    <w:rsid w:val="3A377697"/>
    <w:rsid w:val="3A8A77C7"/>
    <w:rsid w:val="3B8D1268"/>
    <w:rsid w:val="3C2854E9"/>
    <w:rsid w:val="3C3A5903"/>
    <w:rsid w:val="3C666012"/>
    <w:rsid w:val="3E8F7C6E"/>
    <w:rsid w:val="3F722AF3"/>
    <w:rsid w:val="3F813CB4"/>
    <w:rsid w:val="40063D93"/>
    <w:rsid w:val="40776A3F"/>
    <w:rsid w:val="40A178EB"/>
    <w:rsid w:val="40CF0629"/>
    <w:rsid w:val="41B05F50"/>
    <w:rsid w:val="41CE08E1"/>
    <w:rsid w:val="41DF2AEE"/>
    <w:rsid w:val="431978DD"/>
    <w:rsid w:val="437B6846"/>
    <w:rsid w:val="442F13DF"/>
    <w:rsid w:val="44AB18FE"/>
    <w:rsid w:val="462E5DF2"/>
    <w:rsid w:val="473860EE"/>
    <w:rsid w:val="473C62ED"/>
    <w:rsid w:val="479223B1"/>
    <w:rsid w:val="4814724D"/>
    <w:rsid w:val="49374FBE"/>
    <w:rsid w:val="4A67792E"/>
    <w:rsid w:val="4ADF5221"/>
    <w:rsid w:val="4B223A4B"/>
    <w:rsid w:val="4B804747"/>
    <w:rsid w:val="4C2D468A"/>
    <w:rsid w:val="4C3312B7"/>
    <w:rsid w:val="4DC8028C"/>
    <w:rsid w:val="4E762216"/>
    <w:rsid w:val="4F522086"/>
    <w:rsid w:val="50593A6B"/>
    <w:rsid w:val="50EF2622"/>
    <w:rsid w:val="521C11F4"/>
    <w:rsid w:val="527C60D0"/>
    <w:rsid w:val="528079D5"/>
    <w:rsid w:val="52A027E3"/>
    <w:rsid w:val="53D63D41"/>
    <w:rsid w:val="53D80EDC"/>
    <w:rsid w:val="5517656B"/>
    <w:rsid w:val="55287EB0"/>
    <w:rsid w:val="55630D18"/>
    <w:rsid w:val="55A12616"/>
    <w:rsid w:val="570375C9"/>
    <w:rsid w:val="58515970"/>
    <w:rsid w:val="58A12453"/>
    <w:rsid w:val="58A3441E"/>
    <w:rsid w:val="58BD6B62"/>
    <w:rsid w:val="58FF660A"/>
    <w:rsid w:val="59747B68"/>
    <w:rsid w:val="5A144EA7"/>
    <w:rsid w:val="5A386DE8"/>
    <w:rsid w:val="5A723129"/>
    <w:rsid w:val="5A752BA8"/>
    <w:rsid w:val="5AC42429"/>
    <w:rsid w:val="5C5679F9"/>
    <w:rsid w:val="5DB65B7E"/>
    <w:rsid w:val="5E055233"/>
    <w:rsid w:val="5EF3152F"/>
    <w:rsid w:val="5FD90725"/>
    <w:rsid w:val="60940AF0"/>
    <w:rsid w:val="61B56F70"/>
    <w:rsid w:val="62101F6B"/>
    <w:rsid w:val="621B3277"/>
    <w:rsid w:val="628A3697"/>
    <w:rsid w:val="63EF49BB"/>
    <w:rsid w:val="641A55BD"/>
    <w:rsid w:val="64FF1026"/>
    <w:rsid w:val="65766A16"/>
    <w:rsid w:val="65D96A22"/>
    <w:rsid w:val="660758C0"/>
    <w:rsid w:val="66161B88"/>
    <w:rsid w:val="667E5B82"/>
    <w:rsid w:val="68032B9E"/>
    <w:rsid w:val="687436E1"/>
    <w:rsid w:val="68F33825"/>
    <w:rsid w:val="69664D3A"/>
    <w:rsid w:val="69A07208"/>
    <w:rsid w:val="6A114F5F"/>
    <w:rsid w:val="6B533A81"/>
    <w:rsid w:val="6BFC3DB2"/>
    <w:rsid w:val="6C705F6D"/>
    <w:rsid w:val="6C783B29"/>
    <w:rsid w:val="6CA125CA"/>
    <w:rsid w:val="6CA6001D"/>
    <w:rsid w:val="6D8B6DD7"/>
    <w:rsid w:val="6D941A92"/>
    <w:rsid w:val="6DF20A14"/>
    <w:rsid w:val="70D47343"/>
    <w:rsid w:val="71F72C8D"/>
    <w:rsid w:val="72984B04"/>
    <w:rsid w:val="74B310ED"/>
    <w:rsid w:val="74CD0D26"/>
    <w:rsid w:val="750616C5"/>
    <w:rsid w:val="758E56B6"/>
    <w:rsid w:val="75FC2F67"/>
    <w:rsid w:val="76EF6628"/>
    <w:rsid w:val="784C75EC"/>
    <w:rsid w:val="7895434C"/>
    <w:rsid w:val="78E636B9"/>
    <w:rsid w:val="79655759"/>
    <w:rsid w:val="7B017E0B"/>
    <w:rsid w:val="7B2965AD"/>
    <w:rsid w:val="7B854EA3"/>
    <w:rsid w:val="7CB400F8"/>
    <w:rsid w:val="7D20450B"/>
    <w:rsid w:val="7DA076EF"/>
    <w:rsid w:val="7DAC1720"/>
    <w:rsid w:val="7DB76654"/>
    <w:rsid w:val="7E041567"/>
    <w:rsid w:val="7EAD3051"/>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0"/>
    <w:pPr>
      <w:keepNext/>
      <w:keepLines/>
      <w:widowControl/>
      <w:adjustRightInd w:val="0"/>
      <w:snapToGrid w:val="0"/>
      <w:spacing w:line="360" w:lineRule="auto"/>
      <w:ind w:firstLine="420" w:firstLineChars="200"/>
      <w:outlineLvl w:val="0"/>
    </w:pPr>
    <w:rPr>
      <w:rFonts w:eastAsia="黑体" w:cs="宋体" w:asciiTheme="minorEastAsia" w:hAnsiTheme="minorEastAsia"/>
      <w:b/>
      <w:kern w:val="44"/>
      <w:sz w:val="28"/>
      <w:szCs w:val="20"/>
      <w:lang w:bidi="zh-TW"/>
    </w:rPr>
  </w:style>
  <w:style w:type="paragraph" w:styleId="4">
    <w:name w:val="heading 2"/>
    <w:basedOn w:val="1"/>
    <w:next w:val="1"/>
    <w:link w:val="28"/>
    <w:unhideWhenUsed/>
    <w:qFormat/>
    <w:uiPriority w:val="0"/>
    <w:pPr>
      <w:keepNext/>
      <w:keepLines/>
      <w:widowControl/>
      <w:adjustRightInd w:val="0"/>
      <w:snapToGrid w:val="0"/>
      <w:spacing w:line="360" w:lineRule="auto"/>
      <w:outlineLvl w:val="1"/>
    </w:pPr>
    <w:rPr>
      <w:rFonts w:ascii="Arial" w:hAnsi="Arial" w:eastAsia="楷体_GB2312"/>
      <w:b/>
      <w:bCs/>
      <w:kern w:val="0"/>
      <w:sz w:val="24"/>
      <w:szCs w:val="32"/>
      <w:lang w:bidi="zh-TW"/>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rPr>
  </w:style>
  <w:style w:type="paragraph" w:styleId="5">
    <w:name w:val="annotation text"/>
    <w:basedOn w:val="1"/>
    <w:link w:val="32"/>
    <w:qFormat/>
    <w:uiPriority w:val="0"/>
    <w:pPr>
      <w:jc w:val="left"/>
    </w:pPr>
  </w:style>
  <w:style w:type="paragraph" w:styleId="6">
    <w:name w:val="Body Text"/>
    <w:basedOn w:val="1"/>
    <w:link w:val="25"/>
    <w:qFormat/>
    <w:uiPriority w:val="0"/>
    <w:pPr>
      <w:spacing w:after="120"/>
    </w:pPr>
  </w:style>
  <w:style w:type="paragraph" w:styleId="7">
    <w:name w:val="Date"/>
    <w:basedOn w:val="1"/>
    <w:next w:val="1"/>
    <w:link w:val="24"/>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annotation subject"/>
    <w:basedOn w:val="5"/>
    <w:next w:val="5"/>
    <w:link w:val="33"/>
    <w:qFormat/>
    <w:uiPriority w:val="0"/>
    <w:rPr>
      <w:b/>
      <w:bCs/>
    </w:rPr>
  </w:style>
  <w:style w:type="character" w:styleId="14">
    <w:name w:val="annotation reference"/>
    <w:basedOn w:val="13"/>
    <w:qFormat/>
    <w:uiPriority w:val="0"/>
    <w:rPr>
      <w:sz w:val="21"/>
      <w:szCs w:val="21"/>
    </w:rPr>
  </w:style>
  <w:style w:type="paragraph" w:customStyle="1" w:styleId="15">
    <w:name w:val="Table Text"/>
    <w:basedOn w:val="1"/>
    <w:semiHidden/>
    <w:qFormat/>
    <w:uiPriority w:val="0"/>
    <w:rPr>
      <w:rFonts w:ascii="宋体" w:hAnsi="宋体" w:eastAsia="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一级条标题"/>
    <w:next w:val="18"/>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18">
    <w:name w:val="段"/>
    <w:link w:val="29"/>
    <w:autoRedefine/>
    <w:qFormat/>
    <w:uiPriority w:val="0"/>
    <w:pPr>
      <w:autoSpaceDE w:val="0"/>
      <w:autoSpaceDN w:val="0"/>
      <w:jc w:val="both"/>
    </w:pPr>
    <w:rPr>
      <w:rFonts w:ascii="宋体" w:hAnsi="Times New Roman" w:eastAsia="宋体" w:cs="Times New Roman"/>
      <w:sz w:val="21"/>
      <w:lang w:val="en-US" w:eastAsia="zh-CN" w:bidi="ar-SA"/>
    </w:rPr>
  </w:style>
  <w:style w:type="paragraph" w:customStyle="1" w:styleId="19">
    <w:name w:val="三级条标题"/>
    <w:basedOn w:val="20"/>
    <w:next w:val="18"/>
    <w:autoRedefine/>
    <w:qFormat/>
    <w:uiPriority w:val="0"/>
    <w:pPr>
      <w:tabs>
        <w:tab w:val="left" w:pos="360"/>
      </w:tabs>
      <w:outlineLvl w:val="4"/>
    </w:pPr>
  </w:style>
  <w:style w:type="paragraph" w:customStyle="1" w:styleId="20">
    <w:name w:val="二级条标题 Char Char"/>
    <w:basedOn w:val="21"/>
    <w:next w:val="18"/>
    <w:autoRedefine/>
    <w:qFormat/>
    <w:uiPriority w:val="0"/>
    <w:pPr>
      <w:numPr>
        <w:ilvl w:val="0"/>
        <w:numId w:val="0"/>
      </w:numPr>
      <w:outlineLvl w:val="3"/>
    </w:pPr>
  </w:style>
  <w:style w:type="paragraph" w:customStyle="1" w:styleId="21">
    <w:name w:val="一级条标题 Char Char Char Char"/>
    <w:next w:val="18"/>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2">
    <w:name w:val="章标题"/>
    <w:next w:val="18"/>
    <w:autoRedefine/>
    <w:qFormat/>
    <w:uiPriority w:val="0"/>
    <w:pPr>
      <w:spacing w:line="360" w:lineRule="auto"/>
      <w:jc w:val="both"/>
      <w:outlineLvl w:val="0"/>
    </w:pPr>
    <w:rPr>
      <w:rFonts w:ascii="Times New Roman" w:hAnsi="Times New Roman" w:eastAsia="宋体" w:cs="Times New Roman"/>
      <w:b/>
      <w:bCs/>
      <w:sz w:val="24"/>
      <w:szCs w:val="24"/>
      <w:lang w:val="en-US" w:eastAsia="zh-CN" w:bidi="ar-SA"/>
    </w:rPr>
  </w:style>
  <w:style w:type="paragraph" w:customStyle="1" w:styleId="23">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4">
    <w:name w:val="日期 字符"/>
    <w:basedOn w:val="13"/>
    <w:link w:val="7"/>
    <w:uiPriority w:val="0"/>
    <w:rPr>
      <w:rFonts w:asciiTheme="minorHAnsi" w:hAnsiTheme="minorHAnsi" w:eastAsiaTheme="minorEastAsia" w:cstheme="minorBidi"/>
      <w:kern w:val="2"/>
      <w:sz w:val="21"/>
      <w:szCs w:val="24"/>
    </w:rPr>
  </w:style>
  <w:style w:type="character" w:customStyle="1" w:styleId="25">
    <w:name w:val="正文文本 字符"/>
    <w:basedOn w:val="13"/>
    <w:link w:val="6"/>
    <w:qFormat/>
    <w:uiPriority w:val="0"/>
    <w:rPr>
      <w:rFonts w:asciiTheme="minorHAnsi" w:hAnsiTheme="minorHAnsi" w:eastAsiaTheme="minorEastAsia" w:cstheme="minorBidi"/>
      <w:kern w:val="2"/>
      <w:sz w:val="21"/>
      <w:szCs w:val="24"/>
    </w:rPr>
  </w:style>
  <w:style w:type="paragraph" w:styleId="26">
    <w:name w:val="List Paragraph"/>
    <w:basedOn w:val="1"/>
    <w:unhideWhenUsed/>
    <w:qFormat/>
    <w:uiPriority w:val="99"/>
    <w:pPr>
      <w:ind w:firstLine="420" w:firstLineChars="200"/>
    </w:pPr>
  </w:style>
  <w:style w:type="character" w:customStyle="1" w:styleId="27">
    <w:name w:val="标题 1 字符"/>
    <w:basedOn w:val="13"/>
    <w:link w:val="3"/>
    <w:qFormat/>
    <w:uiPriority w:val="0"/>
    <w:rPr>
      <w:rFonts w:eastAsia="黑体" w:cs="宋体" w:asciiTheme="minorEastAsia" w:hAnsiTheme="minorEastAsia"/>
      <w:b/>
      <w:kern w:val="44"/>
      <w:sz w:val="28"/>
      <w:lang w:bidi="zh-TW"/>
    </w:rPr>
  </w:style>
  <w:style w:type="character" w:customStyle="1" w:styleId="28">
    <w:name w:val="标题 2 字符"/>
    <w:basedOn w:val="13"/>
    <w:link w:val="4"/>
    <w:uiPriority w:val="0"/>
    <w:rPr>
      <w:rFonts w:ascii="Arial" w:hAnsi="Arial" w:eastAsia="楷体_GB2312" w:cstheme="minorBidi"/>
      <w:b/>
      <w:bCs/>
      <w:sz w:val="24"/>
      <w:szCs w:val="32"/>
      <w:lang w:bidi="zh-TW"/>
    </w:rPr>
  </w:style>
  <w:style w:type="character" w:customStyle="1" w:styleId="29">
    <w:name w:val="段 Char"/>
    <w:link w:val="18"/>
    <w:qFormat/>
    <w:uiPriority w:val="0"/>
    <w:rPr>
      <w:rFonts w:ascii="宋体"/>
      <w:sz w:val="21"/>
    </w:rPr>
  </w:style>
  <w:style w:type="paragraph" w:customStyle="1" w:styleId="3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31">
    <w:name w:val="批注框文本 字符"/>
    <w:basedOn w:val="13"/>
    <w:link w:val="8"/>
    <w:qFormat/>
    <w:uiPriority w:val="0"/>
    <w:rPr>
      <w:rFonts w:asciiTheme="minorHAnsi" w:hAnsiTheme="minorHAnsi" w:eastAsiaTheme="minorEastAsia" w:cstheme="minorBidi"/>
      <w:kern w:val="2"/>
      <w:sz w:val="18"/>
      <w:szCs w:val="18"/>
    </w:rPr>
  </w:style>
  <w:style w:type="character" w:customStyle="1" w:styleId="32">
    <w:name w:val="批注文字 字符"/>
    <w:basedOn w:val="13"/>
    <w:link w:val="5"/>
    <w:qFormat/>
    <w:uiPriority w:val="0"/>
    <w:rPr>
      <w:rFonts w:asciiTheme="minorHAnsi" w:hAnsiTheme="minorHAnsi" w:eastAsiaTheme="minorEastAsia" w:cstheme="minorBidi"/>
      <w:kern w:val="2"/>
      <w:sz w:val="21"/>
      <w:szCs w:val="24"/>
    </w:rPr>
  </w:style>
  <w:style w:type="character" w:customStyle="1" w:styleId="33">
    <w:name w:val="批注主题 字符"/>
    <w:basedOn w:val="32"/>
    <w:link w:val="11"/>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5208</Words>
  <Characters>5965</Characters>
  <Lines>45</Lines>
  <Paragraphs>12</Paragraphs>
  <TotalTime>1</TotalTime>
  <ScaleCrop>false</ScaleCrop>
  <LinksUpToDate>false</LinksUpToDate>
  <CharactersWithSpaces>6231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2025-06-06T08:38:00Z</dcterms:created>
  <dc:creator>余笙\</dc:creator>
  <cp:lastModifiedBy>llhliulihua</cp:lastModifiedBy>
  <dcterms:modified xsi:type="dcterms:W3CDTF">2025-06-10T08:37:06Z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50EC88780112442F8C75C7EF4908E605_13</vt:lpwstr>
  </property>
  <property fmtid="{D5CDD505-2E9C-101B-9397-08002B2CF9AE}" pid="4" name="KSOTemplateDocerSaveRecord">
    <vt:lpwstr>eyJoZGlkIjoiN2JjNjlkY2Y1Y2NkZGE5Y2Q5NGZmMDVlNzZhMDkwMDUiLCJ1c2VySWQiOiI2NzY3MTU3NDcifQ==</vt:lpwstr>
  </property>
</Properties>
</file>